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289B" w:rsidRPr="008F0D09" w:rsidRDefault="0077289B" w:rsidP="0077289B">
      <w:pPr>
        <w:spacing w:after="360" w:line="240" w:lineRule="atLeast"/>
        <w:jc w:val="both"/>
        <w:textAlignment w:val="baseline"/>
        <w:rPr>
          <w:rFonts w:ascii="Book Antiqua" w:eastAsia="Times New Roman" w:hAnsi="Book Antiqua" w:cs="Arial"/>
          <w:b/>
          <w:bCs/>
          <w:color w:val="FF0000"/>
          <w:kern w:val="36"/>
          <w:sz w:val="24"/>
          <w:szCs w:val="24"/>
        </w:rPr>
      </w:pPr>
      <w:r w:rsidRPr="008F0D09">
        <w:rPr>
          <w:rFonts w:ascii="Book Antiqua" w:eastAsia="Times New Roman" w:hAnsi="Book Antiqua" w:cs="Arial"/>
          <w:b/>
          <w:bCs/>
          <w:color w:val="FF0000"/>
          <w:kern w:val="36"/>
          <w:sz w:val="24"/>
          <w:szCs w:val="24"/>
        </w:rPr>
        <w:t>Brief Case Sample</w:t>
      </w:r>
    </w:p>
    <w:p w:rsidR="0077289B" w:rsidRPr="008F0D09" w:rsidRDefault="0077289B" w:rsidP="0077289B">
      <w:pPr>
        <w:pStyle w:val="Titre1"/>
        <w:jc w:val="both"/>
        <w:rPr>
          <w:rFonts w:ascii="Book Antiqua" w:hAnsi="Book Antiqua"/>
          <w:color w:val="FF0000"/>
          <w:sz w:val="24"/>
          <w:szCs w:val="24"/>
        </w:rPr>
      </w:pPr>
      <w:r w:rsidRPr="008F0D09">
        <w:rPr>
          <w:rFonts w:ascii="Book Antiqua" w:hAnsi="Book Antiqua"/>
          <w:color w:val="FF0000"/>
          <w:sz w:val="24"/>
          <w:szCs w:val="24"/>
        </w:rPr>
        <w:t>Arizona v. Gant, 556 U.S. 332 (2009)</w:t>
      </w:r>
    </w:p>
    <w:p w:rsidR="0077289B" w:rsidRPr="008F0D09" w:rsidRDefault="0077289B" w:rsidP="0077289B">
      <w:pPr>
        <w:spacing w:after="0" w:line="240" w:lineRule="auto"/>
        <w:jc w:val="both"/>
        <w:rPr>
          <w:rFonts w:ascii="Book Antiqua" w:eastAsia="Times New Roman" w:hAnsi="Book Antiqua" w:cs="Times New Roman"/>
          <w:sz w:val="24"/>
          <w:szCs w:val="24"/>
          <w:highlight w:val="lightGray"/>
          <w:lang w:val="fr-FR" w:eastAsia="fr-FR"/>
        </w:rPr>
      </w:pPr>
      <w:r w:rsidRPr="008F0D09">
        <w:rPr>
          <w:rFonts w:ascii="Book Antiqua" w:eastAsia="Times New Roman" w:hAnsi="Book Antiqua" w:cs="Times New Roman"/>
          <w:sz w:val="24"/>
          <w:szCs w:val="24"/>
          <w:highlight w:val="lightGray"/>
          <w:lang w:val="fr-FR" w:eastAsia="fr-FR"/>
        </w:rPr>
        <w:t xml:space="preserve">Arizona </w:t>
      </w:r>
      <w:r w:rsidR="008F0D09" w:rsidRPr="008F0D09">
        <w:rPr>
          <w:rFonts w:ascii="Book Antiqua" w:eastAsia="Times New Roman" w:hAnsi="Book Antiqua" w:cs="Times New Roman"/>
          <w:sz w:val="24"/>
          <w:szCs w:val="24"/>
          <w:highlight w:val="lightGray"/>
          <w:lang w:val="fr-FR" w:eastAsia="fr-FR"/>
        </w:rPr>
        <w:t>(</w:t>
      </w:r>
      <w:proofErr w:type="spellStart"/>
      <w:r w:rsidR="008F0D09" w:rsidRPr="008F0D09">
        <w:rPr>
          <w:rFonts w:ascii="Book Antiqua" w:eastAsia="Times New Roman" w:hAnsi="Book Antiqua" w:cs="Times New Roman"/>
          <w:sz w:val="24"/>
          <w:szCs w:val="24"/>
          <w:highlight w:val="lightGray"/>
          <w:lang w:val="fr-FR" w:eastAsia="fr-FR"/>
        </w:rPr>
        <w:t>petitioner</w:t>
      </w:r>
      <w:proofErr w:type="spellEnd"/>
      <w:r w:rsidR="008F0D09" w:rsidRPr="008F0D09">
        <w:rPr>
          <w:rFonts w:ascii="Book Antiqua" w:eastAsia="Times New Roman" w:hAnsi="Book Antiqua" w:cs="Times New Roman"/>
          <w:sz w:val="24"/>
          <w:szCs w:val="24"/>
          <w:highlight w:val="lightGray"/>
          <w:lang w:val="fr-FR" w:eastAsia="fr-FR"/>
        </w:rPr>
        <w:t xml:space="preserve">) </w:t>
      </w:r>
      <w:r w:rsidRPr="008F0D09">
        <w:rPr>
          <w:rFonts w:ascii="Book Antiqua" w:eastAsia="Times New Roman" w:hAnsi="Book Antiqua" w:cs="Times New Roman"/>
          <w:i/>
          <w:iCs/>
          <w:sz w:val="24"/>
          <w:szCs w:val="24"/>
          <w:highlight w:val="lightGray"/>
          <w:lang w:val="fr-FR" w:eastAsia="fr-FR"/>
        </w:rPr>
        <w:t>v</w:t>
      </w:r>
      <w:r w:rsidRPr="008F0D09">
        <w:rPr>
          <w:rFonts w:ascii="Book Antiqua" w:eastAsia="Times New Roman" w:hAnsi="Book Antiqua" w:cs="Times New Roman"/>
          <w:sz w:val="24"/>
          <w:szCs w:val="24"/>
          <w:highlight w:val="lightGray"/>
          <w:lang w:val="fr-FR" w:eastAsia="fr-FR"/>
        </w:rPr>
        <w:t>. Gant</w:t>
      </w:r>
      <w:r w:rsidR="008F0D09" w:rsidRPr="008F0D09">
        <w:rPr>
          <w:rFonts w:ascii="Book Antiqua" w:eastAsia="Times New Roman" w:hAnsi="Book Antiqua" w:cs="Times New Roman"/>
          <w:sz w:val="24"/>
          <w:szCs w:val="24"/>
          <w:highlight w:val="lightGray"/>
          <w:lang w:val="fr-FR" w:eastAsia="fr-FR"/>
        </w:rPr>
        <w:t xml:space="preserve"> (</w:t>
      </w:r>
      <w:proofErr w:type="spellStart"/>
      <w:r w:rsidR="008F0D09" w:rsidRPr="008F0D09">
        <w:rPr>
          <w:rFonts w:ascii="Book Antiqua" w:eastAsia="Times New Roman" w:hAnsi="Book Antiqua" w:cs="Times New Roman"/>
          <w:sz w:val="24"/>
          <w:szCs w:val="24"/>
          <w:highlight w:val="lightGray"/>
          <w:lang w:val="fr-FR" w:eastAsia="fr-FR"/>
        </w:rPr>
        <w:t>respondent</w:t>
      </w:r>
      <w:proofErr w:type="spellEnd"/>
      <w:r w:rsidR="008F0D09" w:rsidRPr="008F0D09">
        <w:rPr>
          <w:rFonts w:ascii="Book Antiqua" w:eastAsia="Times New Roman" w:hAnsi="Book Antiqua" w:cs="Times New Roman"/>
          <w:sz w:val="24"/>
          <w:szCs w:val="24"/>
          <w:highlight w:val="lightGray"/>
          <w:lang w:val="fr-FR" w:eastAsia="fr-FR"/>
        </w:rPr>
        <w:t>)</w:t>
      </w:r>
    </w:p>
    <w:p w:rsidR="0077289B" w:rsidRPr="008F0D09" w:rsidRDefault="0077289B" w:rsidP="0077289B">
      <w:pPr>
        <w:spacing w:after="0" w:line="240" w:lineRule="auto"/>
        <w:jc w:val="both"/>
        <w:rPr>
          <w:rFonts w:ascii="Book Antiqua" w:eastAsia="Times New Roman" w:hAnsi="Book Antiqua" w:cs="Times New Roman"/>
          <w:sz w:val="24"/>
          <w:szCs w:val="24"/>
          <w:highlight w:val="lightGray"/>
          <w:lang w:eastAsia="fr-FR"/>
        </w:rPr>
      </w:pPr>
      <w:r w:rsidRPr="008F0D09">
        <w:rPr>
          <w:rFonts w:ascii="Book Antiqua" w:eastAsia="Times New Roman" w:hAnsi="Book Antiqua" w:cs="Times New Roman"/>
          <w:sz w:val="24"/>
          <w:szCs w:val="24"/>
          <w:highlight w:val="lightGray"/>
          <w:lang w:eastAsia="fr-FR"/>
        </w:rPr>
        <w:t>Certiorari to the Supreme Court of Arizona</w:t>
      </w:r>
    </w:p>
    <w:p w:rsidR="0077289B" w:rsidRPr="00D607A8" w:rsidRDefault="0077289B" w:rsidP="0077289B">
      <w:pPr>
        <w:spacing w:after="0" w:line="240" w:lineRule="auto"/>
        <w:jc w:val="both"/>
        <w:rPr>
          <w:rFonts w:ascii="Book Antiqua" w:eastAsia="Times New Roman" w:hAnsi="Book Antiqua" w:cs="Times New Roman"/>
          <w:sz w:val="24"/>
          <w:szCs w:val="24"/>
          <w:lang w:eastAsia="fr-FR"/>
        </w:rPr>
      </w:pPr>
      <w:r w:rsidRPr="008F0D09">
        <w:rPr>
          <w:rFonts w:ascii="Book Antiqua" w:eastAsia="Times New Roman" w:hAnsi="Book Antiqua" w:cs="Times New Roman"/>
          <w:sz w:val="24"/>
          <w:szCs w:val="24"/>
          <w:highlight w:val="lightGray"/>
          <w:lang w:eastAsia="fr-FR"/>
        </w:rPr>
        <w:t>No. 07–542.</w:t>
      </w:r>
      <w:r w:rsidRPr="008F0D09">
        <w:rPr>
          <w:rFonts w:ascii="Book Antiqua" w:eastAsia="Times New Roman" w:hAnsi="Book Antiqua" w:cs="Times New Roman"/>
          <w:sz w:val="24"/>
          <w:szCs w:val="24"/>
          <w:highlight w:val="lightGray"/>
          <w:lang w:val="fr-FR" w:eastAsia="fr-FR"/>
        </w:rPr>
        <w:t> </w:t>
      </w:r>
      <w:r w:rsidRPr="008F0D09">
        <w:rPr>
          <w:rFonts w:ascii="Book Antiqua" w:eastAsia="Times New Roman" w:hAnsi="Book Antiqua" w:cs="Times New Roman"/>
          <w:sz w:val="24"/>
          <w:szCs w:val="24"/>
          <w:highlight w:val="lightGray"/>
          <w:lang w:eastAsia="fr-FR"/>
        </w:rPr>
        <w:t>Argued October 7, 2008—Decided April 21, 2009</w:t>
      </w:r>
    </w:p>
    <w:p w:rsidR="0077289B" w:rsidRDefault="0077289B" w:rsidP="0077289B">
      <w:pPr>
        <w:ind w:left="-142"/>
        <w:jc w:val="both"/>
        <w:rPr>
          <w:rFonts w:ascii="Book Antiqua" w:hAnsi="Book Antiqua"/>
          <w:b/>
          <w:i/>
          <w:sz w:val="24"/>
          <w:szCs w:val="24"/>
        </w:rPr>
      </w:pPr>
    </w:p>
    <w:p w:rsidR="0077289B" w:rsidRDefault="0077289B" w:rsidP="0077289B">
      <w:pPr>
        <w:jc w:val="both"/>
        <w:rPr>
          <w:rFonts w:ascii="Book Antiqua" w:hAnsi="Book Antiqua"/>
          <w:b/>
          <w:i/>
          <w:sz w:val="24"/>
          <w:szCs w:val="24"/>
        </w:rPr>
      </w:pPr>
      <w:r w:rsidRPr="00D607A8">
        <w:rPr>
          <w:rFonts w:ascii="Book Antiqua" w:hAnsi="Book Antiqua"/>
          <w:b/>
          <w:i/>
          <w:sz w:val="24"/>
          <w:szCs w:val="24"/>
          <w:u w:val="single"/>
        </w:rPr>
        <w:t>Exercise</w:t>
      </w:r>
      <w:r w:rsidRPr="00D607A8">
        <w:rPr>
          <w:rFonts w:ascii="Book Antiqua" w:hAnsi="Book Antiqua"/>
          <w:b/>
          <w:i/>
          <w:sz w:val="24"/>
          <w:szCs w:val="24"/>
        </w:rPr>
        <w:t xml:space="preserve">: find which text corresponds to each part of the </w:t>
      </w:r>
      <w:r w:rsidRPr="00D607A8">
        <w:rPr>
          <w:rFonts w:ascii="Book Antiqua" w:hAnsi="Book Antiqua"/>
          <w:b/>
          <w:bCs/>
          <w:i/>
          <w:sz w:val="24"/>
          <w:szCs w:val="24"/>
          <w:shd w:val="clear" w:color="auto" w:fill="FFFFFF" w:themeFill="background1"/>
        </w:rPr>
        <w:t>case</w:t>
      </w:r>
      <w:r w:rsidRPr="00D607A8">
        <w:rPr>
          <w:rFonts w:ascii="Book Antiqua" w:hAnsi="Book Antiqua"/>
          <w:b/>
          <w:i/>
          <w:sz w:val="24"/>
          <w:szCs w:val="24"/>
        </w:rPr>
        <w:t xml:space="preserve"> brief and put the corresponding letter in the table below. Also check the meaning </w:t>
      </w:r>
      <w:r>
        <w:rPr>
          <w:rFonts w:ascii="Book Antiqua" w:hAnsi="Book Antiqua"/>
          <w:b/>
          <w:i/>
          <w:sz w:val="24"/>
          <w:szCs w:val="24"/>
        </w:rPr>
        <w:t>(</w:t>
      </w:r>
      <w:r w:rsidRPr="00D607A8">
        <w:rPr>
          <w:rFonts w:ascii="Book Antiqua" w:hAnsi="Book Antiqua"/>
          <w:b/>
          <w:i/>
          <w:sz w:val="24"/>
          <w:szCs w:val="24"/>
        </w:rPr>
        <w:t>and the pronunciation</w:t>
      </w:r>
      <w:r>
        <w:rPr>
          <w:rFonts w:ascii="Book Antiqua" w:hAnsi="Book Antiqua"/>
          <w:b/>
          <w:i/>
          <w:sz w:val="24"/>
          <w:szCs w:val="24"/>
        </w:rPr>
        <w:t>)</w:t>
      </w:r>
      <w:r w:rsidRPr="00D607A8">
        <w:rPr>
          <w:rFonts w:ascii="Book Antiqua" w:hAnsi="Book Antiqua"/>
          <w:b/>
          <w:i/>
          <w:sz w:val="24"/>
          <w:szCs w:val="24"/>
        </w:rPr>
        <w:t xml:space="preserve"> of the words</w:t>
      </w:r>
      <w:r>
        <w:rPr>
          <w:rFonts w:ascii="Book Antiqua" w:hAnsi="Book Antiqua"/>
          <w:b/>
          <w:i/>
          <w:sz w:val="24"/>
          <w:szCs w:val="24"/>
        </w:rPr>
        <w:t>/expressions underlined and any other term you may deem useful</w:t>
      </w:r>
      <w:r w:rsidRPr="00D607A8">
        <w:rPr>
          <w:rFonts w:ascii="Book Antiqua" w:hAnsi="Book Antiqua"/>
          <w:b/>
          <w:i/>
          <w:sz w:val="24"/>
          <w:szCs w:val="24"/>
        </w:rPr>
        <w:t>.</w:t>
      </w:r>
    </w:p>
    <w:p w:rsidR="0077289B" w:rsidRPr="00D607A8" w:rsidRDefault="0077289B" w:rsidP="0077289B">
      <w:pPr>
        <w:jc w:val="both"/>
        <w:rPr>
          <w:rFonts w:ascii="Book Antiqua" w:hAnsi="Book Antiqua"/>
          <w:b/>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9"/>
        <w:gridCol w:w="1382"/>
      </w:tblGrid>
      <w:tr w:rsidR="0077289B" w:rsidRPr="00D607A8" w:rsidTr="002E01E8">
        <w:tc>
          <w:tcPr>
            <w:tcW w:w="4709" w:type="dxa"/>
            <w:shd w:val="clear" w:color="auto" w:fill="auto"/>
          </w:tcPr>
          <w:p w:rsidR="0077289B" w:rsidRPr="00D607A8" w:rsidRDefault="0077289B" w:rsidP="002E01E8">
            <w:pPr>
              <w:jc w:val="both"/>
              <w:rPr>
                <w:rFonts w:ascii="Book Antiqua" w:hAnsi="Book Antiqua"/>
                <w:sz w:val="24"/>
                <w:szCs w:val="24"/>
              </w:rPr>
            </w:pPr>
            <w:r w:rsidRPr="00D607A8">
              <w:rPr>
                <w:rFonts w:ascii="Book Antiqua" w:hAnsi="Book Antiqua"/>
                <w:sz w:val="24"/>
                <w:szCs w:val="24"/>
              </w:rPr>
              <w:t>Facts</w:t>
            </w:r>
          </w:p>
        </w:tc>
        <w:tc>
          <w:tcPr>
            <w:tcW w:w="1382" w:type="dxa"/>
            <w:shd w:val="clear" w:color="auto" w:fill="auto"/>
          </w:tcPr>
          <w:p w:rsidR="0077289B" w:rsidRPr="00EE212B" w:rsidRDefault="0077289B" w:rsidP="002E01E8">
            <w:pPr>
              <w:jc w:val="center"/>
              <w:rPr>
                <w:rFonts w:ascii="Book Antiqua" w:hAnsi="Book Antiqua"/>
                <w:b/>
                <w:color w:val="FF0000"/>
                <w:sz w:val="24"/>
                <w:szCs w:val="24"/>
              </w:rPr>
            </w:pPr>
          </w:p>
        </w:tc>
      </w:tr>
      <w:tr w:rsidR="0077289B" w:rsidRPr="00D607A8" w:rsidTr="002E01E8">
        <w:tc>
          <w:tcPr>
            <w:tcW w:w="4709" w:type="dxa"/>
            <w:shd w:val="clear" w:color="auto" w:fill="auto"/>
          </w:tcPr>
          <w:p w:rsidR="0077289B" w:rsidRPr="00D607A8" w:rsidRDefault="0077289B" w:rsidP="002E01E8">
            <w:pPr>
              <w:jc w:val="both"/>
              <w:rPr>
                <w:rFonts w:ascii="Book Antiqua" w:hAnsi="Book Antiqua"/>
                <w:sz w:val="24"/>
                <w:szCs w:val="24"/>
              </w:rPr>
            </w:pPr>
            <w:r w:rsidRPr="00D607A8">
              <w:rPr>
                <w:rFonts w:ascii="Book Antiqua" w:hAnsi="Book Antiqua"/>
                <w:sz w:val="24"/>
                <w:szCs w:val="24"/>
              </w:rPr>
              <w:t>Procedural History</w:t>
            </w:r>
          </w:p>
        </w:tc>
        <w:tc>
          <w:tcPr>
            <w:tcW w:w="1382" w:type="dxa"/>
            <w:shd w:val="clear" w:color="auto" w:fill="auto"/>
          </w:tcPr>
          <w:p w:rsidR="0077289B" w:rsidRPr="00EE212B" w:rsidRDefault="0077289B" w:rsidP="002E01E8">
            <w:pPr>
              <w:jc w:val="center"/>
              <w:rPr>
                <w:rFonts w:ascii="Book Antiqua" w:hAnsi="Book Antiqua"/>
                <w:b/>
                <w:color w:val="FF0000"/>
                <w:sz w:val="24"/>
                <w:szCs w:val="24"/>
              </w:rPr>
            </w:pPr>
          </w:p>
        </w:tc>
      </w:tr>
      <w:tr w:rsidR="0077289B" w:rsidRPr="00D607A8" w:rsidTr="002E01E8">
        <w:tc>
          <w:tcPr>
            <w:tcW w:w="4709" w:type="dxa"/>
            <w:shd w:val="clear" w:color="auto" w:fill="auto"/>
          </w:tcPr>
          <w:p w:rsidR="0077289B" w:rsidRPr="00D607A8" w:rsidRDefault="0077289B" w:rsidP="002E01E8">
            <w:pPr>
              <w:jc w:val="both"/>
              <w:rPr>
                <w:rFonts w:ascii="Book Antiqua" w:hAnsi="Book Antiqua"/>
                <w:sz w:val="24"/>
                <w:szCs w:val="24"/>
              </w:rPr>
            </w:pPr>
            <w:r w:rsidRPr="00D607A8">
              <w:rPr>
                <w:rFonts w:ascii="Book Antiqua" w:hAnsi="Book Antiqua"/>
                <w:sz w:val="24"/>
                <w:szCs w:val="24"/>
              </w:rPr>
              <w:t>Issue</w:t>
            </w:r>
          </w:p>
        </w:tc>
        <w:tc>
          <w:tcPr>
            <w:tcW w:w="1382" w:type="dxa"/>
            <w:shd w:val="clear" w:color="auto" w:fill="auto"/>
          </w:tcPr>
          <w:p w:rsidR="0077289B" w:rsidRPr="00EE212B" w:rsidRDefault="0077289B" w:rsidP="002E01E8">
            <w:pPr>
              <w:jc w:val="center"/>
              <w:rPr>
                <w:rFonts w:ascii="Book Antiqua" w:hAnsi="Book Antiqua"/>
                <w:b/>
                <w:color w:val="FF0000"/>
                <w:sz w:val="24"/>
                <w:szCs w:val="24"/>
              </w:rPr>
            </w:pPr>
          </w:p>
        </w:tc>
      </w:tr>
      <w:tr w:rsidR="0077289B" w:rsidRPr="00D607A8" w:rsidTr="002E01E8">
        <w:tc>
          <w:tcPr>
            <w:tcW w:w="4709" w:type="dxa"/>
            <w:shd w:val="clear" w:color="auto" w:fill="auto"/>
          </w:tcPr>
          <w:p w:rsidR="0077289B" w:rsidRPr="00D607A8" w:rsidRDefault="0077289B" w:rsidP="002E01E8">
            <w:pPr>
              <w:jc w:val="both"/>
              <w:rPr>
                <w:rFonts w:ascii="Book Antiqua" w:hAnsi="Book Antiqua"/>
                <w:sz w:val="24"/>
                <w:szCs w:val="24"/>
              </w:rPr>
            </w:pPr>
            <w:r w:rsidRPr="00D607A8">
              <w:rPr>
                <w:rFonts w:ascii="Book Antiqua" w:hAnsi="Book Antiqua"/>
                <w:sz w:val="24"/>
                <w:szCs w:val="24"/>
              </w:rPr>
              <w:t>Holding (a.k.a. as Ruling/Rule)</w:t>
            </w:r>
          </w:p>
        </w:tc>
        <w:tc>
          <w:tcPr>
            <w:tcW w:w="1382" w:type="dxa"/>
            <w:shd w:val="clear" w:color="auto" w:fill="auto"/>
          </w:tcPr>
          <w:p w:rsidR="0077289B" w:rsidRPr="00EE212B" w:rsidRDefault="0077289B" w:rsidP="002E01E8">
            <w:pPr>
              <w:jc w:val="center"/>
              <w:rPr>
                <w:rFonts w:ascii="Book Antiqua" w:hAnsi="Book Antiqua"/>
                <w:b/>
                <w:color w:val="FF0000"/>
                <w:sz w:val="24"/>
                <w:szCs w:val="24"/>
              </w:rPr>
            </w:pPr>
          </w:p>
        </w:tc>
      </w:tr>
      <w:tr w:rsidR="0077289B" w:rsidRPr="00D607A8" w:rsidTr="002E01E8">
        <w:tc>
          <w:tcPr>
            <w:tcW w:w="4709" w:type="dxa"/>
            <w:shd w:val="clear" w:color="auto" w:fill="auto"/>
          </w:tcPr>
          <w:p w:rsidR="0077289B" w:rsidRPr="00D607A8" w:rsidRDefault="0077289B" w:rsidP="002E01E8">
            <w:pPr>
              <w:jc w:val="both"/>
              <w:rPr>
                <w:rFonts w:ascii="Book Antiqua" w:hAnsi="Book Antiqua"/>
                <w:sz w:val="24"/>
                <w:szCs w:val="24"/>
              </w:rPr>
            </w:pPr>
            <w:r w:rsidRPr="00D607A8">
              <w:rPr>
                <w:rFonts w:ascii="Book Antiqua" w:hAnsi="Book Antiqua"/>
                <w:sz w:val="24"/>
                <w:szCs w:val="24"/>
              </w:rPr>
              <w:t>Reasoning</w:t>
            </w:r>
          </w:p>
        </w:tc>
        <w:tc>
          <w:tcPr>
            <w:tcW w:w="1382" w:type="dxa"/>
            <w:shd w:val="clear" w:color="auto" w:fill="auto"/>
          </w:tcPr>
          <w:p w:rsidR="0077289B" w:rsidRPr="00EE212B" w:rsidRDefault="0077289B" w:rsidP="002E01E8">
            <w:pPr>
              <w:jc w:val="center"/>
              <w:rPr>
                <w:rFonts w:ascii="Book Antiqua" w:hAnsi="Book Antiqua"/>
                <w:b/>
                <w:color w:val="FF0000"/>
                <w:sz w:val="24"/>
                <w:szCs w:val="24"/>
              </w:rPr>
            </w:pPr>
          </w:p>
        </w:tc>
      </w:tr>
      <w:tr w:rsidR="0077289B" w:rsidRPr="00D607A8" w:rsidTr="002E01E8">
        <w:tc>
          <w:tcPr>
            <w:tcW w:w="4709" w:type="dxa"/>
            <w:shd w:val="clear" w:color="auto" w:fill="auto"/>
          </w:tcPr>
          <w:p w:rsidR="0077289B" w:rsidRPr="00D607A8" w:rsidRDefault="0077289B" w:rsidP="002E01E8">
            <w:pPr>
              <w:jc w:val="both"/>
              <w:rPr>
                <w:rFonts w:ascii="Book Antiqua" w:hAnsi="Book Antiqua"/>
                <w:sz w:val="24"/>
                <w:szCs w:val="24"/>
              </w:rPr>
            </w:pPr>
            <w:r w:rsidRPr="00D607A8">
              <w:rPr>
                <w:rFonts w:ascii="Book Antiqua" w:hAnsi="Book Antiqua"/>
                <w:sz w:val="24"/>
                <w:szCs w:val="24"/>
              </w:rPr>
              <w:t xml:space="preserve">Concurring and </w:t>
            </w:r>
            <w:r w:rsidR="004D5B5A">
              <w:rPr>
                <w:rFonts w:ascii="Book Antiqua" w:hAnsi="Book Antiqua"/>
                <w:sz w:val="24"/>
                <w:szCs w:val="24"/>
              </w:rPr>
              <w:t>D</w:t>
            </w:r>
            <w:r w:rsidRPr="00D607A8">
              <w:rPr>
                <w:rFonts w:ascii="Book Antiqua" w:hAnsi="Book Antiqua"/>
                <w:sz w:val="24"/>
                <w:szCs w:val="24"/>
              </w:rPr>
              <w:t xml:space="preserve">issenting </w:t>
            </w:r>
            <w:r w:rsidR="004D5B5A">
              <w:rPr>
                <w:rFonts w:ascii="Book Antiqua" w:hAnsi="Book Antiqua"/>
                <w:sz w:val="24"/>
                <w:szCs w:val="24"/>
              </w:rPr>
              <w:t>O</w:t>
            </w:r>
            <w:r w:rsidRPr="00D607A8">
              <w:rPr>
                <w:rFonts w:ascii="Book Antiqua" w:hAnsi="Book Antiqua"/>
                <w:sz w:val="24"/>
                <w:szCs w:val="24"/>
              </w:rPr>
              <w:t>pinion(s)</w:t>
            </w:r>
          </w:p>
        </w:tc>
        <w:tc>
          <w:tcPr>
            <w:tcW w:w="1382" w:type="dxa"/>
            <w:shd w:val="clear" w:color="auto" w:fill="auto"/>
          </w:tcPr>
          <w:p w:rsidR="0077289B" w:rsidRPr="00EE212B" w:rsidRDefault="0077289B" w:rsidP="002E01E8">
            <w:pPr>
              <w:jc w:val="center"/>
              <w:rPr>
                <w:rFonts w:ascii="Book Antiqua" w:hAnsi="Book Antiqua"/>
                <w:b/>
                <w:color w:val="FF0000"/>
                <w:sz w:val="24"/>
                <w:szCs w:val="24"/>
              </w:rPr>
            </w:pPr>
          </w:p>
        </w:tc>
      </w:tr>
    </w:tbl>
    <w:p w:rsidR="0077289B" w:rsidRPr="00D607A8" w:rsidRDefault="0077289B" w:rsidP="0077289B">
      <w:pPr>
        <w:ind w:left="-142"/>
        <w:jc w:val="both"/>
        <w:rPr>
          <w:rFonts w:ascii="Book Antiqua" w:hAnsi="Book Antiqua"/>
          <w:b/>
          <w:i/>
          <w:sz w:val="24"/>
          <w:szCs w:val="24"/>
        </w:rPr>
      </w:pPr>
    </w:p>
    <w:p w:rsidR="0077289B" w:rsidRPr="00BE050D" w:rsidRDefault="0077289B" w:rsidP="0077289B">
      <w:pPr>
        <w:spacing w:after="0" w:line="240" w:lineRule="auto"/>
        <w:jc w:val="both"/>
        <w:rPr>
          <w:rFonts w:ascii="Book Antiqua" w:hAnsi="Book Antiqua"/>
          <w:b/>
          <w:sz w:val="24"/>
          <w:szCs w:val="24"/>
        </w:rPr>
      </w:pPr>
      <w:r>
        <w:rPr>
          <w:rStyle w:val="lev"/>
          <w:rFonts w:ascii="Book Antiqua" w:hAnsi="Book Antiqua"/>
          <w:color w:val="FF0000"/>
          <w:sz w:val="24"/>
          <w:szCs w:val="24"/>
        </w:rPr>
        <w:t>A.</w:t>
      </w:r>
      <w:r>
        <w:rPr>
          <w:rStyle w:val="lev"/>
          <w:rFonts w:ascii="Book Antiqua" w:hAnsi="Book Antiqua"/>
          <w:b w:val="0"/>
          <w:sz w:val="24"/>
          <w:szCs w:val="24"/>
        </w:rPr>
        <w:t xml:space="preserve"> </w:t>
      </w:r>
      <w:r w:rsidRPr="00BE050D">
        <w:rPr>
          <w:rStyle w:val="lev"/>
          <w:rFonts w:ascii="Book Antiqua" w:hAnsi="Book Antiqua"/>
          <w:b w:val="0"/>
          <w:sz w:val="24"/>
          <w:szCs w:val="24"/>
        </w:rPr>
        <w:t xml:space="preserve">After a recent arrest, the police may </w:t>
      </w:r>
      <w:r w:rsidRPr="004D736C">
        <w:rPr>
          <w:rStyle w:val="lev"/>
          <w:rFonts w:ascii="Book Antiqua" w:hAnsi="Book Antiqua"/>
          <w:b w:val="0"/>
          <w:sz w:val="24"/>
          <w:szCs w:val="24"/>
          <w:u w:val="single"/>
        </w:rPr>
        <w:t>search</w:t>
      </w:r>
      <w:r>
        <w:rPr>
          <w:rStyle w:val="lev"/>
          <w:rFonts w:ascii="Book Antiqua" w:hAnsi="Book Antiqua"/>
          <w:b w:val="0"/>
          <w:sz w:val="24"/>
          <w:szCs w:val="24"/>
        </w:rPr>
        <w:t xml:space="preserve"> </w:t>
      </w:r>
      <w:r w:rsidRPr="00BE050D">
        <w:rPr>
          <w:rStyle w:val="lev"/>
          <w:rFonts w:ascii="Book Antiqua" w:hAnsi="Book Antiqua"/>
          <w:b w:val="0"/>
          <w:sz w:val="24"/>
          <w:szCs w:val="24"/>
        </w:rPr>
        <w:t xml:space="preserve">a recent occupant’s vehicle if </w:t>
      </w:r>
      <w:r w:rsidRPr="0085549D">
        <w:rPr>
          <w:rStyle w:val="lev"/>
          <w:rFonts w:ascii="Book Antiqua" w:hAnsi="Book Antiqua"/>
          <w:b w:val="0"/>
          <w:sz w:val="24"/>
          <w:szCs w:val="24"/>
          <w:u w:val="single"/>
        </w:rPr>
        <w:t>the arrestee</w:t>
      </w:r>
      <w:r w:rsidRPr="00BE050D">
        <w:rPr>
          <w:rStyle w:val="lev"/>
          <w:rFonts w:ascii="Book Antiqua" w:hAnsi="Book Antiqua"/>
          <w:b w:val="0"/>
          <w:sz w:val="24"/>
          <w:szCs w:val="24"/>
        </w:rPr>
        <w:t xml:space="preserve"> is </w:t>
      </w:r>
      <w:r w:rsidRPr="0085549D">
        <w:rPr>
          <w:rStyle w:val="lev"/>
          <w:rFonts w:ascii="Book Antiqua" w:hAnsi="Book Antiqua"/>
          <w:b w:val="0"/>
          <w:sz w:val="24"/>
          <w:szCs w:val="24"/>
          <w:u w:val="single"/>
        </w:rPr>
        <w:t>within the reaching distance</w:t>
      </w:r>
      <w:r>
        <w:rPr>
          <w:rStyle w:val="lev"/>
          <w:rFonts w:ascii="Book Antiqua" w:hAnsi="Book Antiqua"/>
          <w:b w:val="0"/>
          <w:sz w:val="24"/>
          <w:szCs w:val="24"/>
        </w:rPr>
        <w:t xml:space="preserve"> </w:t>
      </w:r>
      <w:r w:rsidRPr="00BE050D">
        <w:rPr>
          <w:rStyle w:val="lev"/>
          <w:rFonts w:ascii="Book Antiqua" w:hAnsi="Book Antiqua"/>
          <w:b w:val="0"/>
          <w:sz w:val="24"/>
          <w:szCs w:val="24"/>
        </w:rPr>
        <w:t xml:space="preserve">of the passenger </w:t>
      </w:r>
      <w:r w:rsidRPr="0085549D">
        <w:rPr>
          <w:rStyle w:val="lev"/>
          <w:rFonts w:ascii="Book Antiqua" w:hAnsi="Book Antiqua"/>
          <w:b w:val="0"/>
          <w:sz w:val="24"/>
          <w:szCs w:val="24"/>
          <w:u w:val="single"/>
        </w:rPr>
        <w:t>compartment</w:t>
      </w:r>
      <w:r w:rsidRPr="004D736C">
        <w:rPr>
          <w:rStyle w:val="lev"/>
          <w:rFonts w:ascii="Book Antiqua" w:hAnsi="Book Antiqua"/>
          <w:b w:val="0"/>
          <w:color w:val="00B050"/>
          <w:sz w:val="24"/>
          <w:szCs w:val="24"/>
        </w:rPr>
        <w:t xml:space="preserve"> </w:t>
      </w:r>
      <w:r w:rsidRPr="00BE050D">
        <w:rPr>
          <w:rStyle w:val="lev"/>
          <w:rFonts w:ascii="Book Antiqua" w:hAnsi="Book Antiqua"/>
          <w:b w:val="0"/>
          <w:sz w:val="24"/>
          <w:szCs w:val="24"/>
        </w:rPr>
        <w:t>during the search or it is reasonable to believe evidence related to the crime is present in the vehicle.</w:t>
      </w:r>
    </w:p>
    <w:p w:rsidR="0077289B" w:rsidRPr="00EE212B" w:rsidRDefault="0077289B" w:rsidP="0077289B">
      <w:pPr>
        <w:pStyle w:val="NormalWeb"/>
        <w:jc w:val="both"/>
        <w:rPr>
          <w:rFonts w:ascii="Book Antiqua" w:hAnsi="Book Antiqua"/>
          <w:i/>
        </w:rPr>
      </w:pPr>
      <w:r w:rsidRPr="00D607A8">
        <w:rPr>
          <w:rFonts w:ascii="Book Antiqua" w:hAnsi="Book Antiqua"/>
        </w:rPr>
        <w:t xml:space="preserve">The Court in </w:t>
      </w:r>
      <w:hyperlink r:id="rId4" w:history="1">
        <w:r w:rsidRPr="002A4FC5">
          <w:rPr>
            <w:rStyle w:val="Lienhypertexte"/>
            <w:rFonts w:ascii="Book Antiqua" w:hAnsi="Book Antiqua"/>
            <w:i/>
            <w:iCs/>
            <w:color w:val="auto"/>
            <w:u w:val="none"/>
          </w:rPr>
          <w:t>Chimel v. California</w:t>
        </w:r>
      </w:hyperlink>
      <w:r w:rsidRPr="002A4FC5">
        <w:rPr>
          <w:rFonts w:ascii="Book Antiqua" w:hAnsi="Book Antiqua"/>
        </w:rPr>
        <w:t xml:space="preserve">, </w:t>
      </w:r>
      <w:r w:rsidRPr="00D607A8">
        <w:rPr>
          <w:rFonts w:ascii="Book Antiqua" w:hAnsi="Book Antiqua"/>
        </w:rPr>
        <w:t xml:space="preserve">395 U.S. 752 (1969) held that the basic rule that applies in these cases is that </w:t>
      </w:r>
      <w:r w:rsidRPr="0085549D">
        <w:rPr>
          <w:rFonts w:ascii="Book Antiqua" w:hAnsi="Book Antiqua"/>
          <w:u w:val="single"/>
        </w:rPr>
        <w:t>the search incident to an arrest</w:t>
      </w:r>
      <w:r>
        <w:rPr>
          <w:rFonts w:ascii="Book Antiqua" w:hAnsi="Book Antiqua"/>
        </w:rPr>
        <w:t xml:space="preserve"> </w:t>
      </w:r>
      <w:r w:rsidRPr="00D607A8">
        <w:rPr>
          <w:rFonts w:ascii="Book Antiqua" w:hAnsi="Book Antiqua"/>
        </w:rPr>
        <w:t xml:space="preserve">includes the areas of the arrestee’s person and the area within his </w:t>
      </w:r>
      <w:r w:rsidRPr="00EE212B">
        <w:rPr>
          <w:rStyle w:val="Accentuation"/>
          <w:rFonts w:ascii="Book Antiqua" w:hAnsi="Book Antiqua"/>
          <w:i w:val="0"/>
        </w:rPr>
        <w:t>immediate control.</w:t>
      </w:r>
    </w:p>
    <w:p w:rsidR="0077289B" w:rsidRPr="00D607A8" w:rsidRDefault="0077289B" w:rsidP="0077289B">
      <w:pPr>
        <w:pStyle w:val="NormalWeb"/>
        <w:jc w:val="both"/>
        <w:rPr>
          <w:rFonts w:ascii="Book Antiqua" w:hAnsi="Book Antiqua"/>
        </w:rPr>
      </w:pPr>
      <w:r w:rsidRPr="00D607A8">
        <w:rPr>
          <w:rFonts w:ascii="Book Antiqua" w:hAnsi="Book Antiqua"/>
        </w:rPr>
        <w:t>The Court then refers to</w:t>
      </w:r>
      <w:r w:rsidRPr="00D607A8">
        <w:rPr>
          <w:rStyle w:val="Accentuation"/>
          <w:rFonts w:ascii="Book Antiqua" w:hAnsi="Book Antiqua"/>
        </w:rPr>
        <w:t xml:space="preserve"> New York v. Belton, </w:t>
      </w:r>
      <w:r w:rsidRPr="00D607A8">
        <w:rPr>
          <w:rFonts w:ascii="Book Antiqua" w:hAnsi="Book Antiqua"/>
        </w:rPr>
        <w:t xml:space="preserve">453 U.S. 454 (1981) where they considered the case of an arrestee in his automobile and held that police can search the arrestee’s person and conduct a contemporaneous search of the passenger compartment including any containers found therein. The Court held that this decision does not authorize a vehicle search after a recent arrest. Doing so would </w:t>
      </w:r>
      <w:r w:rsidRPr="0085549D">
        <w:rPr>
          <w:rFonts w:ascii="Book Antiqua" w:hAnsi="Book Antiqua"/>
          <w:u w:val="single"/>
        </w:rPr>
        <w:t>undermine</w:t>
      </w:r>
      <w:r w:rsidRPr="00D607A8">
        <w:rPr>
          <w:rStyle w:val="Accentuation"/>
          <w:rFonts w:ascii="Book Antiqua" w:hAnsi="Book Antiqua"/>
        </w:rPr>
        <w:t xml:space="preserve"> Chimel.  </w:t>
      </w:r>
    </w:p>
    <w:p w:rsidR="0077289B" w:rsidRPr="00D607A8" w:rsidRDefault="0077289B" w:rsidP="0077289B">
      <w:pPr>
        <w:pStyle w:val="NormalWeb"/>
        <w:jc w:val="both"/>
        <w:rPr>
          <w:rFonts w:ascii="Book Antiqua" w:hAnsi="Book Antiqua"/>
        </w:rPr>
      </w:pPr>
      <w:r w:rsidRPr="00D607A8">
        <w:rPr>
          <w:rFonts w:ascii="Book Antiqua" w:hAnsi="Book Antiqua"/>
        </w:rPr>
        <w:t xml:space="preserve">Looking at the two cases together the Court holds that officers may search a vehicle after the recent arrest of the occupant only where </w:t>
      </w:r>
      <w:r w:rsidRPr="0085549D">
        <w:rPr>
          <w:rFonts w:ascii="Book Antiqua" w:hAnsi="Book Antiqua"/>
          <w:u w:val="single"/>
        </w:rPr>
        <w:t>the unrestrained arrestee</w:t>
      </w:r>
      <w:r w:rsidRPr="00D607A8">
        <w:rPr>
          <w:rFonts w:ascii="Book Antiqua" w:hAnsi="Book Antiqua"/>
        </w:rPr>
        <w:t xml:space="preserve"> is within the reach of the passenger compartment. The search may include and objects found within the compartment.</w:t>
      </w:r>
    </w:p>
    <w:p w:rsidR="0077289B" w:rsidRPr="00D607A8" w:rsidRDefault="0077289B" w:rsidP="0077289B">
      <w:pPr>
        <w:pStyle w:val="NormalWeb"/>
        <w:jc w:val="both"/>
        <w:rPr>
          <w:rFonts w:ascii="Book Antiqua" w:hAnsi="Book Antiqua"/>
        </w:rPr>
      </w:pPr>
      <w:r w:rsidRPr="00D607A8">
        <w:rPr>
          <w:rFonts w:ascii="Book Antiqua" w:hAnsi="Book Antiqua"/>
        </w:rPr>
        <w:lastRenderedPageBreak/>
        <w:t>The Court then looks to its holding in</w:t>
      </w:r>
      <w:r w:rsidRPr="00D607A8">
        <w:rPr>
          <w:rStyle w:val="Accentuation"/>
          <w:rFonts w:ascii="Book Antiqua" w:hAnsi="Book Antiqua"/>
        </w:rPr>
        <w:t xml:space="preserve"> Thornton v. United States, </w:t>
      </w:r>
      <w:r w:rsidRPr="00D607A8">
        <w:rPr>
          <w:rFonts w:ascii="Book Antiqua" w:hAnsi="Book Antiqua"/>
        </w:rPr>
        <w:t xml:space="preserve">541 U.S. 615 (2004). In doing so it affirms that police who have stopped a vehicle, can search for evidence only when “reasonable to believe </w:t>
      </w:r>
      <w:r w:rsidRPr="0085549D">
        <w:rPr>
          <w:rFonts w:ascii="Book Antiqua" w:hAnsi="Book Antiqua"/>
          <w:u w:val="single"/>
        </w:rPr>
        <w:t>evidence relevant to the crime of arrest</w:t>
      </w:r>
      <w:r w:rsidRPr="00D607A8">
        <w:rPr>
          <w:rFonts w:ascii="Book Antiqua" w:hAnsi="Book Antiqua"/>
        </w:rPr>
        <w:t xml:space="preserve"> might be found in the vehicle.”</w:t>
      </w:r>
    </w:p>
    <w:p w:rsidR="0077289B" w:rsidRDefault="0077289B" w:rsidP="0077289B">
      <w:pPr>
        <w:pStyle w:val="NormalWeb"/>
        <w:spacing w:before="0" w:beforeAutospacing="0" w:after="0" w:afterAutospacing="0"/>
        <w:jc w:val="both"/>
        <w:rPr>
          <w:rFonts w:ascii="Book Antiqua" w:hAnsi="Book Antiqua"/>
        </w:rPr>
      </w:pPr>
      <w:r w:rsidRPr="00D607A8">
        <w:rPr>
          <w:rFonts w:ascii="Book Antiqua" w:hAnsi="Book Antiqua"/>
        </w:rPr>
        <w:t xml:space="preserve">Here, Gant was arrested for driving with </w:t>
      </w:r>
      <w:r w:rsidRPr="0085549D">
        <w:rPr>
          <w:rFonts w:ascii="Book Antiqua" w:hAnsi="Book Antiqua"/>
          <w:u w:val="single"/>
        </w:rPr>
        <w:t>a suspended license</w:t>
      </w:r>
      <w:r w:rsidRPr="00D607A8">
        <w:rPr>
          <w:rFonts w:ascii="Book Antiqua" w:hAnsi="Book Antiqua"/>
        </w:rPr>
        <w:t xml:space="preserve">, cuffed and secured in the back of </w:t>
      </w:r>
      <w:r w:rsidRPr="0085549D">
        <w:rPr>
          <w:rFonts w:ascii="Book Antiqua" w:hAnsi="Book Antiqua"/>
          <w:u w:val="single"/>
        </w:rPr>
        <w:t>a squad car</w:t>
      </w:r>
      <w:r w:rsidRPr="00FC58F4">
        <w:rPr>
          <w:rFonts w:ascii="Book Antiqua" w:hAnsi="Book Antiqua"/>
          <w:color w:val="00B050"/>
        </w:rPr>
        <w:t xml:space="preserve"> </w:t>
      </w:r>
      <w:r w:rsidRPr="00D607A8">
        <w:rPr>
          <w:rFonts w:ascii="Book Antiqua" w:hAnsi="Book Antiqua"/>
        </w:rPr>
        <w:t xml:space="preserve">before any search took place. Since he was </w:t>
      </w:r>
      <w:r w:rsidRPr="00FC58F4">
        <w:rPr>
          <w:rFonts w:ascii="Book Antiqua" w:hAnsi="Book Antiqua"/>
          <w:u w:val="single"/>
        </w:rPr>
        <w:t>restrained</w:t>
      </w:r>
      <w:r w:rsidRPr="00FC58F4">
        <w:rPr>
          <w:rFonts w:ascii="Book Antiqua" w:hAnsi="Book Antiqua"/>
          <w:color w:val="00B050"/>
        </w:rPr>
        <w:t xml:space="preserve"> </w:t>
      </w:r>
      <w:r w:rsidRPr="00D607A8">
        <w:rPr>
          <w:rFonts w:ascii="Book Antiqua" w:hAnsi="Book Antiqua"/>
        </w:rPr>
        <w:t xml:space="preserve">he could not have had or reached a weapon. In addition, police could not have reasonably believed that it was obvious to find evidence connected to the crime for which he was arrested (driving while license suspended). </w:t>
      </w:r>
    </w:p>
    <w:p w:rsidR="0077289B" w:rsidRDefault="0077289B" w:rsidP="0077289B">
      <w:pPr>
        <w:pStyle w:val="NormalWeb"/>
        <w:spacing w:before="0" w:beforeAutospacing="0" w:after="0" w:afterAutospacing="0"/>
        <w:jc w:val="both"/>
        <w:rPr>
          <w:rFonts w:ascii="Book Antiqua" w:hAnsi="Book Antiqua"/>
        </w:rPr>
      </w:pPr>
    </w:p>
    <w:p w:rsidR="0077289B" w:rsidRDefault="0077289B" w:rsidP="0077289B">
      <w:pPr>
        <w:pStyle w:val="NormalWeb"/>
        <w:spacing w:before="0" w:beforeAutospacing="0" w:after="0" w:afterAutospacing="0"/>
        <w:jc w:val="both"/>
        <w:rPr>
          <w:rFonts w:ascii="Book Antiqua" w:hAnsi="Book Antiqua"/>
        </w:rPr>
      </w:pPr>
    </w:p>
    <w:p w:rsidR="0077289B" w:rsidRDefault="0077289B" w:rsidP="0077289B">
      <w:pPr>
        <w:spacing w:after="0" w:line="240" w:lineRule="atLeast"/>
        <w:jc w:val="both"/>
        <w:textAlignment w:val="baseline"/>
        <w:rPr>
          <w:rFonts w:ascii="Book Antiqua" w:hAnsi="Book Antiqua"/>
          <w:sz w:val="24"/>
          <w:szCs w:val="24"/>
        </w:rPr>
      </w:pPr>
      <w:r w:rsidRPr="00EE212B">
        <w:rPr>
          <w:rFonts w:ascii="Book Antiqua" w:hAnsi="Book Antiqua"/>
          <w:b/>
          <w:color w:val="FF0000"/>
          <w:sz w:val="24"/>
          <w:szCs w:val="24"/>
        </w:rPr>
        <w:t>B</w:t>
      </w:r>
      <w:r>
        <w:rPr>
          <w:rFonts w:ascii="Book Antiqua" w:hAnsi="Book Antiqua"/>
          <w:b/>
          <w:color w:val="FF0000"/>
          <w:sz w:val="24"/>
          <w:szCs w:val="24"/>
        </w:rPr>
        <w:t>.</w:t>
      </w:r>
      <w:r>
        <w:rPr>
          <w:rFonts w:ascii="Book Antiqua" w:hAnsi="Book Antiqua"/>
          <w:sz w:val="24"/>
          <w:szCs w:val="24"/>
        </w:rPr>
        <w:t xml:space="preserve"> </w:t>
      </w:r>
      <w:r w:rsidRPr="00D607A8">
        <w:rPr>
          <w:rFonts w:ascii="Book Antiqua" w:hAnsi="Book Antiqua"/>
          <w:sz w:val="24"/>
          <w:szCs w:val="24"/>
        </w:rPr>
        <w:t xml:space="preserve">Did the search violate the Fourth Amendment right of the defendant against </w:t>
      </w:r>
      <w:r w:rsidRPr="0085549D">
        <w:rPr>
          <w:rFonts w:ascii="Book Antiqua" w:hAnsi="Book Antiqua"/>
          <w:sz w:val="24"/>
          <w:szCs w:val="24"/>
          <w:u w:val="single"/>
        </w:rPr>
        <w:t>unreasonable searches and seizures</w:t>
      </w:r>
      <w:r w:rsidRPr="00D607A8">
        <w:rPr>
          <w:rFonts w:ascii="Book Antiqua" w:hAnsi="Book Antiqua"/>
          <w:sz w:val="24"/>
          <w:szCs w:val="24"/>
        </w:rPr>
        <w:t xml:space="preserve">? </w:t>
      </w:r>
    </w:p>
    <w:p w:rsidR="0077289B" w:rsidRPr="00D607A8" w:rsidRDefault="0077289B" w:rsidP="0077289B">
      <w:pPr>
        <w:spacing w:after="0" w:line="240" w:lineRule="atLeast"/>
        <w:jc w:val="both"/>
        <w:textAlignment w:val="baseline"/>
        <w:rPr>
          <w:rFonts w:ascii="Book Antiqua" w:eastAsia="Times New Roman" w:hAnsi="Book Antiqua" w:cs="Arial"/>
          <w:color w:val="333333"/>
          <w:sz w:val="24"/>
          <w:szCs w:val="24"/>
        </w:rPr>
      </w:pPr>
    </w:p>
    <w:p w:rsidR="0077289B" w:rsidRDefault="0077289B" w:rsidP="0077289B">
      <w:pPr>
        <w:pStyle w:val="Titre2"/>
        <w:spacing w:before="0"/>
        <w:jc w:val="both"/>
        <w:rPr>
          <w:rFonts w:ascii="Book Antiqua" w:hAnsi="Book Antiqua"/>
          <w:b/>
          <w:color w:val="0070C0"/>
          <w:sz w:val="24"/>
          <w:szCs w:val="24"/>
        </w:rPr>
      </w:pPr>
    </w:p>
    <w:p w:rsidR="0077289B" w:rsidRPr="0077289B" w:rsidRDefault="0077289B" w:rsidP="0077289B">
      <w:pPr>
        <w:spacing w:after="0" w:line="240" w:lineRule="atLeast"/>
        <w:jc w:val="both"/>
        <w:textAlignment w:val="baseline"/>
        <w:rPr>
          <w:rFonts w:ascii="Book Antiqua" w:hAnsi="Book Antiqua"/>
          <w:color w:val="00B050"/>
          <w:sz w:val="24"/>
          <w:szCs w:val="24"/>
        </w:rPr>
      </w:pPr>
      <w:r w:rsidRPr="00EE212B">
        <w:rPr>
          <w:rFonts w:ascii="Book Antiqua" w:hAnsi="Book Antiqua"/>
          <w:b/>
          <w:color w:val="FF0000"/>
          <w:sz w:val="24"/>
          <w:szCs w:val="24"/>
        </w:rPr>
        <w:t>C</w:t>
      </w:r>
      <w:r>
        <w:rPr>
          <w:rFonts w:ascii="Book Antiqua" w:hAnsi="Book Antiqua"/>
          <w:b/>
          <w:color w:val="FF0000"/>
          <w:sz w:val="24"/>
          <w:szCs w:val="24"/>
        </w:rPr>
        <w:t>.</w:t>
      </w:r>
      <w:r>
        <w:rPr>
          <w:rFonts w:ascii="Book Antiqua" w:hAnsi="Book Antiqua"/>
          <w:sz w:val="24"/>
          <w:szCs w:val="24"/>
        </w:rPr>
        <w:t xml:space="preserve"> Ro</w:t>
      </w:r>
      <w:r w:rsidRPr="00D607A8">
        <w:rPr>
          <w:rFonts w:ascii="Book Antiqua" w:hAnsi="Book Antiqua"/>
          <w:sz w:val="24"/>
          <w:szCs w:val="24"/>
        </w:rPr>
        <w:t xml:space="preserve">dney Gant was apprehended by Arizona state police on </w:t>
      </w:r>
      <w:r w:rsidRPr="0085549D">
        <w:rPr>
          <w:rFonts w:ascii="Book Antiqua" w:hAnsi="Book Antiqua"/>
          <w:sz w:val="24"/>
          <w:szCs w:val="24"/>
          <w:u w:val="single"/>
        </w:rPr>
        <w:t>an outstanding warrant</w:t>
      </w:r>
      <w:r w:rsidRPr="00D607A8">
        <w:rPr>
          <w:rFonts w:ascii="Book Antiqua" w:hAnsi="Book Antiqua"/>
          <w:sz w:val="24"/>
          <w:szCs w:val="24"/>
        </w:rPr>
        <w:t xml:space="preserve"> for driving with a suspended license. After the officers </w:t>
      </w:r>
      <w:r w:rsidRPr="004D736C">
        <w:rPr>
          <w:rFonts w:ascii="Book Antiqua" w:hAnsi="Book Antiqua"/>
          <w:sz w:val="24"/>
          <w:szCs w:val="24"/>
          <w:u w:val="single"/>
        </w:rPr>
        <w:t>handcuffed</w:t>
      </w:r>
      <w:r>
        <w:rPr>
          <w:rFonts w:ascii="Book Antiqua" w:hAnsi="Book Antiqua"/>
          <w:sz w:val="24"/>
          <w:szCs w:val="24"/>
        </w:rPr>
        <w:t xml:space="preserve"> </w:t>
      </w:r>
      <w:r w:rsidRPr="00D607A8">
        <w:rPr>
          <w:rFonts w:ascii="Book Antiqua" w:hAnsi="Book Antiqua"/>
          <w:sz w:val="24"/>
          <w:szCs w:val="24"/>
        </w:rPr>
        <w:t xml:space="preserve">Gant and placed him in their squad car, they went on to search his vehicle, discovering a handgun and a plastic bag of cocaine. At trial, Gant asked the judge </w:t>
      </w:r>
      <w:r w:rsidRPr="0085549D">
        <w:rPr>
          <w:rFonts w:ascii="Book Antiqua" w:hAnsi="Book Antiqua"/>
          <w:sz w:val="24"/>
          <w:szCs w:val="24"/>
          <w:u w:val="single"/>
        </w:rPr>
        <w:t>to suppress the evidence</w:t>
      </w:r>
      <w:r w:rsidRPr="00FC58F4">
        <w:rPr>
          <w:rFonts w:ascii="Book Antiqua" w:hAnsi="Book Antiqua"/>
          <w:color w:val="00B050"/>
          <w:sz w:val="24"/>
          <w:szCs w:val="24"/>
        </w:rPr>
        <w:t xml:space="preserve"> </w:t>
      </w:r>
      <w:r w:rsidRPr="00D607A8">
        <w:rPr>
          <w:rFonts w:ascii="Book Antiqua" w:hAnsi="Book Antiqua"/>
          <w:sz w:val="24"/>
          <w:szCs w:val="24"/>
        </w:rPr>
        <w:t xml:space="preserve">found in his vehicle because the search had been conducted </w:t>
      </w:r>
      <w:r w:rsidRPr="0085549D">
        <w:rPr>
          <w:rFonts w:ascii="Book Antiqua" w:hAnsi="Book Antiqua"/>
          <w:sz w:val="24"/>
          <w:szCs w:val="24"/>
          <w:u w:val="single"/>
        </w:rPr>
        <w:t>without a warrant</w:t>
      </w:r>
      <w:r w:rsidRPr="00FC58F4">
        <w:rPr>
          <w:rFonts w:ascii="Book Antiqua" w:hAnsi="Book Antiqua"/>
          <w:color w:val="00B050"/>
          <w:sz w:val="24"/>
          <w:szCs w:val="24"/>
        </w:rPr>
        <w:t xml:space="preserve"> </w:t>
      </w:r>
      <w:r w:rsidRPr="00D607A8">
        <w:rPr>
          <w:rFonts w:ascii="Book Antiqua" w:hAnsi="Book Antiqua"/>
          <w:sz w:val="24"/>
          <w:szCs w:val="24"/>
        </w:rPr>
        <w:t xml:space="preserve">in violation of the Fourth Amendment's prohibition of unreasonable searches and seizures. The judge declined Gant's request, stating that the search was a direct result of Gant's </w:t>
      </w:r>
      <w:r w:rsidRPr="0085549D">
        <w:rPr>
          <w:rFonts w:ascii="Book Antiqua" w:hAnsi="Book Antiqua"/>
          <w:sz w:val="24"/>
          <w:szCs w:val="24"/>
          <w:u w:val="single"/>
        </w:rPr>
        <w:t>lawful arrest</w:t>
      </w:r>
      <w:r w:rsidRPr="00FC58F4">
        <w:rPr>
          <w:rFonts w:ascii="Book Antiqua" w:hAnsi="Book Antiqua"/>
          <w:color w:val="00B050"/>
          <w:sz w:val="24"/>
          <w:szCs w:val="24"/>
        </w:rPr>
        <w:t xml:space="preserve"> </w:t>
      </w:r>
      <w:r w:rsidRPr="00D607A8">
        <w:rPr>
          <w:rFonts w:ascii="Book Antiqua" w:hAnsi="Book Antiqua"/>
          <w:sz w:val="24"/>
          <w:szCs w:val="24"/>
        </w:rPr>
        <w:t xml:space="preserve">and therefore an exception to the general Fourth Amendment warrant requirement. </w:t>
      </w:r>
      <w:r w:rsidRPr="004D736C">
        <w:rPr>
          <w:rFonts w:ascii="Book Antiqua" w:hAnsi="Book Antiqua"/>
          <w:sz w:val="24"/>
          <w:szCs w:val="24"/>
          <w:u w:val="single"/>
        </w:rPr>
        <w:t>The court convicted Gant on two counts of cocaine possession</w:t>
      </w:r>
      <w:r w:rsidRPr="00D607A8">
        <w:rPr>
          <w:rFonts w:ascii="Book Antiqua" w:hAnsi="Book Antiqua"/>
          <w:sz w:val="24"/>
          <w:szCs w:val="24"/>
        </w:rPr>
        <w:t>.</w:t>
      </w:r>
    </w:p>
    <w:p w:rsidR="0077289B" w:rsidRPr="0077289B" w:rsidRDefault="0077289B" w:rsidP="0077289B">
      <w:pPr>
        <w:spacing w:after="0" w:line="240" w:lineRule="atLeast"/>
        <w:jc w:val="both"/>
        <w:textAlignment w:val="baseline"/>
        <w:rPr>
          <w:rFonts w:ascii="Book Antiqua" w:eastAsia="Times New Roman" w:hAnsi="Book Antiqua" w:cs="Arial"/>
          <w:color w:val="333333"/>
          <w:sz w:val="24"/>
          <w:szCs w:val="24"/>
        </w:rPr>
      </w:pPr>
    </w:p>
    <w:p w:rsidR="0077289B" w:rsidRPr="0077289B" w:rsidRDefault="0077289B" w:rsidP="0077289B">
      <w:pPr>
        <w:spacing w:after="0" w:line="240" w:lineRule="atLeast"/>
        <w:jc w:val="both"/>
        <w:textAlignment w:val="baseline"/>
        <w:rPr>
          <w:rFonts w:ascii="Book Antiqua" w:eastAsia="Times New Roman" w:hAnsi="Book Antiqua" w:cs="Arial"/>
          <w:color w:val="333333"/>
          <w:sz w:val="24"/>
          <w:szCs w:val="24"/>
        </w:rPr>
      </w:pPr>
    </w:p>
    <w:p w:rsidR="0077289B" w:rsidRDefault="0077289B" w:rsidP="0077289B">
      <w:pPr>
        <w:jc w:val="both"/>
        <w:rPr>
          <w:rFonts w:ascii="Book Antiqua" w:hAnsi="Book Antiqua"/>
          <w:sz w:val="24"/>
          <w:szCs w:val="24"/>
        </w:rPr>
      </w:pPr>
      <w:r w:rsidRPr="00EE212B">
        <w:rPr>
          <w:rFonts w:ascii="Book Antiqua" w:hAnsi="Book Antiqua"/>
          <w:b/>
          <w:color w:val="FF0000"/>
          <w:sz w:val="24"/>
          <w:szCs w:val="24"/>
        </w:rPr>
        <w:t>D.</w:t>
      </w:r>
      <w:r>
        <w:rPr>
          <w:rFonts w:ascii="Book Antiqua" w:hAnsi="Book Antiqua"/>
          <w:sz w:val="24"/>
          <w:szCs w:val="24"/>
        </w:rPr>
        <w:t xml:space="preserve"> </w:t>
      </w:r>
      <w:r w:rsidRPr="00D607A8">
        <w:rPr>
          <w:rFonts w:ascii="Book Antiqua" w:hAnsi="Book Antiqua"/>
          <w:sz w:val="24"/>
          <w:szCs w:val="24"/>
        </w:rPr>
        <w:t xml:space="preserve">Justice Scalia wrote separately, concurring. Justice Samuel A. Alito dissented and was joined by Chief Justice John G. Roberts, and Justices Anthony M. Kennedy and Stephen G. Breyer. He argued that the majority improperly </w:t>
      </w:r>
      <w:r w:rsidRPr="004D736C">
        <w:rPr>
          <w:rFonts w:ascii="Book Antiqua" w:hAnsi="Book Antiqua"/>
          <w:sz w:val="24"/>
          <w:szCs w:val="24"/>
          <w:u w:val="single"/>
        </w:rPr>
        <w:t>overruled</w:t>
      </w:r>
      <w:r w:rsidRPr="00FC58F4">
        <w:rPr>
          <w:rFonts w:ascii="Book Antiqua" w:hAnsi="Book Antiqua"/>
          <w:color w:val="00B050"/>
          <w:sz w:val="24"/>
          <w:szCs w:val="24"/>
        </w:rPr>
        <w:t xml:space="preserve"> </w:t>
      </w:r>
      <w:r w:rsidRPr="00D607A8">
        <w:rPr>
          <w:rFonts w:ascii="Book Antiqua" w:hAnsi="Book Antiqua"/>
          <w:sz w:val="24"/>
          <w:szCs w:val="24"/>
        </w:rPr>
        <w:t xml:space="preserve">its precedent in </w:t>
      </w:r>
      <w:r w:rsidRPr="00D607A8">
        <w:rPr>
          <w:rStyle w:val="Accentuation"/>
          <w:rFonts w:ascii="Book Antiqua" w:hAnsi="Book Antiqua"/>
          <w:sz w:val="24"/>
          <w:szCs w:val="24"/>
        </w:rPr>
        <w:t>New York v. Belton</w:t>
      </w:r>
      <w:r w:rsidRPr="00D607A8">
        <w:rPr>
          <w:rFonts w:ascii="Book Antiqua" w:hAnsi="Book Antiqua"/>
          <w:sz w:val="24"/>
          <w:szCs w:val="24"/>
        </w:rPr>
        <w:t xml:space="preserve"> which held that "when a policeman has made a lawful arrest… he may, as a contemporaneous incident of that arrest, search the passenger compartment of that automobile." Justice Stephen G. Breyer also wrote a separate dissenting opinion, where he lamented that the court could not create a new governing rule.</w:t>
      </w:r>
    </w:p>
    <w:p w:rsidR="0077289B" w:rsidRDefault="0077289B" w:rsidP="0077289B">
      <w:pPr>
        <w:spacing w:after="0" w:line="240" w:lineRule="atLeast"/>
        <w:jc w:val="both"/>
        <w:textAlignment w:val="baseline"/>
        <w:rPr>
          <w:rFonts w:ascii="Book Antiqua" w:eastAsia="Times New Roman" w:hAnsi="Book Antiqua" w:cs="Arial"/>
          <w:color w:val="333333"/>
          <w:sz w:val="24"/>
          <w:szCs w:val="24"/>
          <w:u w:val="single"/>
          <w:bdr w:val="none" w:sz="0" w:space="0" w:color="auto" w:frame="1"/>
        </w:rPr>
      </w:pPr>
    </w:p>
    <w:p w:rsidR="008F0D09" w:rsidRDefault="008F0D09" w:rsidP="0077289B">
      <w:pPr>
        <w:spacing w:after="0" w:line="240" w:lineRule="atLeast"/>
        <w:jc w:val="both"/>
        <w:textAlignment w:val="baseline"/>
        <w:rPr>
          <w:rFonts w:ascii="Book Antiqua" w:eastAsia="Times New Roman" w:hAnsi="Book Antiqua" w:cs="Arial"/>
          <w:color w:val="333333"/>
          <w:sz w:val="24"/>
          <w:szCs w:val="24"/>
          <w:u w:val="single"/>
          <w:bdr w:val="none" w:sz="0" w:space="0" w:color="auto" w:frame="1"/>
        </w:rPr>
      </w:pPr>
    </w:p>
    <w:p w:rsidR="008F0D09" w:rsidRDefault="008F0D09" w:rsidP="0077289B">
      <w:pPr>
        <w:spacing w:after="0" w:line="240" w:lineRule="atLeast"/>
        <w:jc w:val="both"/>
        <w:textAlignment w:val="baseline"/>
        <w:rPr>
          <w:rFonts w:ascii="Book Antiqua" w:eastAsia="Times New Roman" w:hAnsi="Book Antiqua" w:cs="Arial"/>
          <w:color w:val="333333"/>
          <w:sz w:val="24"/>
          <w:szCs w:val="24"/>
          <w:u w:val="single"/>
          <w:bdr w:val="none" w:sz="0" w:space="0" w:color="auto" w:frame="1"/>
        </w:rPr>
      </w:pPr>
    </w:p>
    <w:p w:rsidR="008F0D09" w:rsidRDefault="008F0D09" w:rsidP="0077289B">
      <w:pPr>
        <w:spacing w:after="0" w:line="240" w:lineRule="atLeast"/>
        <w:jc w:val="both"/>
        <w:textAlignment w:val="baseline"/>
        <w:rPr>
          <w:rFonts w:ascii="Book Antiqua" w:eastAsia="Times New Roman" w:hAnsi="Book Antiqua" w:cs="Arial"/>
          <w:color w:val="333333"/>
          <w:sz w:val="24"/>
          <w:szCs w:val="24"/>
          <w:u w:val="single"/>
          <w:bdr w:val="none" w:sz="0" w:space="0" w:color="auto" w:frame="1"/>
        </w:rPr>
      </w:pPr>
    </w:p>
    <w:p w:rsidR="008F0D09" w:rsidRDefault="008F0D09" w:rsidP="0077289B">
      <w:pPr>
        <w:spacing w:after="0" w:line="240" w:lineRule="atLeast"/>
        <w:jc w:val="both"/>
        <w:textAlignment w:val="baseline"/>
        <w:rPr>
          <w:rFonts w:ascii="Book Antiqua" w:eastAsia="Times New Roman" w:hAnsi="Book Antiqua" w:cs="Arial"/>
          <w:color w:val="333333"/>
          <w:sz w:val="24"/>
          <w:szCs w:val="24"/>
          <w:u w:val="single"/>
          <w:bdr w:val="none" w:sz="0" w:space="0" w:color="auto" w:frame="1"/>
        </w:rPr>
      </w:pPr>
    </w:p>
    <w:p w:rsidR="008F0D09" w:rsidRDefault="008F0D09" w:rsidP="0077289B">
      <w:pPr>
        <w:spacing w:after="0" w:line="240" w:lineRule="atLeast"/>
        <w:jc w:val="both"/>
        <w:textAlignment w:val="baseline"/>
        <w:rPr>
          <w:rFonts w:ascii="Book Antiqua" w:eastAsia="Times New Roman" w:hAnsi="Book Antiqua" w:cs="Arial"/>
          <w:color w:val="333333"/>
          <w:sz w:val="24"/>
          <w:szCs w:val="24"/>
          <w:u w:val="single"/>
          <w:bdr w:val="none" w:sz="0" w:space="0" w:color="auto" w:frame="1"/>
        </w:rPr>
      </w:pPr>
      <w:bookmarkStart w:id="0" w:name="_GoBack"/>
      <w:bookmarkEnd w:id="0"/>
    </w:p>
    <w:p w:rsidR="008F0D09" w:rsidRDefault="008F0D09" w:rsidP="0077289B">
      <w:pPr>
        <w:spacing w:after="0" w:line="240" w:lineRule="atLeast"/>
        <w:jc w:val="both"/>
        <w:textAlignment w:val="baseline"/>
        <w:rPr>
          <w:rFonts w:ascii="Book Antiqua" w:eastAsia="Times New Roman" w:hAnsi="Book Antiqua" w:cs="Arial"/>
          <w:color w:val="333333"/>
          <w:sz w:val="24"/>
          <w:szCs w:val="24"/>
          <w:u w:val="single"/>
          <w:bdr w:val="none" w:sz="0" w:space="0" w:color="auto" w:frame="1"/>
        </w:rPr>
      </w:pPr>
    </w:p>
    <w:p w:rsidR="008F0D09" w:rsidRDefault="008F0D09" w:rsidP="0077289B">
      <w:pPr>
        <w:spacing w:after="0" w:line="240" w:lineRule="atLeast"/>
        <w:jc w:val="both"/>
        <w:textAlignment w:val="baseline"/>
        <w:rPr>
          <w:rFonts w:ascii="Book Antiqua" w:eastAsia="Times New Roman" w:hAnsi="Book Antiqua" w:cs="Arial"/>
          <w:color w:val="333333"/>
          <w:sz w:val="24"/>
          <w:szCs w:val="24"/>
          <w:u w:val="single"/>
          <w:bdr w:val="none" w:sz="0" w:space="0" w:color="auto" w:frame="1"/>
        </w:rPr>
      </w:pPr>
    </w:p>
    <w:p w:rsidR="0077289B" w:rsidRPr="00D607A8" w:rsidRDefault="0077289B" w:rsidP="0077289B">
      <w:pPr>
        <w:spacing w:after="0" w:line="240" w:lineRule="atLeast"/>
        <w:jc w:val="both"/>
        <w:textAlignment w:val="baseline"/>
        <w:rPr>
          <w:rFonts w:ascii="Book Antiqua" w:eastAsia="Times New Roman" w:hAnsi="Book Antiqua" w:cs="Arial"/>
          <w:color w:val="333333"/>
          <w:sz w:val="24"/>
          <w:szCs w:val="24"/>
          <w:u w:val="single"/>
          <w:bdr w:val="none" w:sz="0" w:space="0" w:color="auto" w:frame="1"/>
        </w:rPr>
      </w:pPr>
      <w:r w:rsidRPr="00EE212B">
        <w:rPr>
          <w:rFonts w:ascii="Book Antiqua" w:hAnsi="Book Antiqua"/>
          <w:b/>
          <w:color w:val="FF0000"/>
          <w:sz w:val="24"/>
          <w:szCs w:val="24"/>
        </w:rPr>
        <w:t>E.</w:t>
      </w:r>
      <w:r>
        <w:rPr>
          <w:rFonts w:ascii="Book Antiqua" w:hAnsi="Book Antiqua"/>
          <w:sz w:val="24"/>
          <w:szCs w:val="24"/>
        </w:rPr>
        <w:t xml:space="preserve"> </w:t>
      </w:r>
      <w:r w:rsidRPr="004D736C">
        <w:rPr>
          <w:rFonts w:ascii="Book Antiqua" w:hAnsi="Book Antiqua"/>
          <w:sz w:val="24"/>
          <w:szCs w:val="24"/>
          <w:u w:val="single"/>
        </w:rPr>
        <w:t xml:space="preserve">Gant's attorney filed a </w:t>
      </w:r>
      <w:r w:rsidRPr="004D736C">
        <w:rPr>
          <w:rFonts w:ascii="Book Antiqua" w:hAnsi="Book Antiqua"/>
          <w:b/>
          <w:bCs/>
          <w:sz w:val="24"/>
          <w:szCs w:val="24"/>
          <w:u w:val="single"/>
        </w:rPr>
        <w:t>motion to suppress</w:t>
      </w:r>
      <w:r w:rsidRPr="00D607A8">
        <w:rPr>
          <w:rFonts w:ascii="Book Antiqua" w:hAnsi="Book Antiqua"/>
          <w:sz w:val="24"/>
          <w:szCs w:val="24"/>
        </w:rPr>
        <w:t xml:space="preserve">, a legal action requesting that because evidence was obtained illegally, it should not be able to be used against him. He argued that the officers had no reason to search his car because, once he was placed under arrest for a traffic offense, a search </w:t>
      </w:r>
      <w:r w:rsidRPr="00E3630F">
        <w:rPr>
          <w:rFonts w:ascii="Book Antiqua" w:hAnsi="Book Antiqua"/>
          <w:sz w:val="24"/>
          <w:szCs w:val="24"/>
          <w:u w:val="single"/>
        </w:rPr>
        <w:t xml:space="preserve">was </w:t>
      </w:r>
      <w:r w:rsidRPr="004D736C">
        <w:rPr>
          <w:rFonts w:ascii="Book Antiqua" w:hAnsi="Book Antiqua"/>
          <w:sz w:val="24"/>
          <w:szCs w:val="24"/>
          <w:u w:val="single"/>
        </w:rPr>
        <w:t>unlikely to</w:t>
      </w:r>
      <w:r w:rsidRPr="00D607A8">
        <w:rPr>
          <w:rFonts w:ascii="Book Antiqua" w:hAnsi="Book Antiqua"/>
          <w:sz w:val="24"/>
          <w:szCs w:val="24"/>
        </w:rPr>
        <w:t xml:space="preserve"> produce any evidence of that offense. Additionally, because Gant was handcuffed and placed in a police car, there was no way that Gant could access any potential weapon or evidence from a jacket in his vehicle.</w:t>
      </w:r>
    </w:p>
    <w:p w:rsidR="0077289B" w:rsidRDefault="0077289B" w:rsidP="0077289B">
      <w:pPr>
        <w:spacing w:after="0" w:line="240" w:lineRule="atLeast"/>
        <w:jc w:val="both"/>
        <w:textAlignment w:val="baseline"/>
        <w:rPr>
          <w:rFonts w:ascii="Book Antiqua" w:hAnsi="Book Antiqua"/>
          <w:sz w:val="24"/>
          <w:szCs w:val="24"/>
        </w:rPr>
      </w:pPr>
      <w:r w:rsidRPr="00AF2120">
        <w:rPr>
          <w:rFonts w:ascii="Book Antiqua" w:hAnsi="Book Antiqua"/>
          <w:b/>
          <w:sz w:val="24"/>
          <w:szCs w:val="24"/>
        </w:rPr>
        <w:t>The Arizona trial court</w:t>
      </w:r>
      <w:r w:rsidRPr="00B05690">
        <w:rPr>
          <w:rFonts w:ascii="Book Antiqua" w:hAnsi="Book Antiqua"/>
          <w:sz w:val="24"/>
          <w:szCs w:val="24"/>
        </w:rPr>
        <w:t xml:space="preserve"> </w:t>
      </w:r>
      <w:r w:rsidRPr="004D736C">
        <w:rPr>
          <w:rFonts w:ascii="Book Antiqua" w:hAnsi="Book Antiqua"/>
          <w:sz w:val="24"/>
          <w:szCs w:val="24"/>
          <w:u w:val="single"/>
        </w:rPr>
        <w:t>denied his motion</w:t>
      </w:r>
      <w:r>
        <w:rPr>
          <w:rFonts w:ascii="Book Antiqua" w:hAnsi="Book Antiqua"/>
          <w:sz w:val="24"/>
          <w:szCs w:val="24"/>
        </w:rPr>
        <w:t xml:space="preserve"> </w:t>
      </w:r>
      <w:r w:rsidRPr="00B05690">
        <w:rPr>
          <w:rFonts w:ascii="Book Antiqua" w:hAnsi="Book Antiqua"/>
          <w:sz w:val="24"/>
          <w:szCs w:val="24"/>
        </w:rPr>
        <w:t>to suppress the evidence</w:t>
      </w:r>
      <w:r>
        <w:rPr>
          <w:rFonts w:ascii="Book Antiqua" w:hAnsi="Book Antiqua"/>
          <w:sz w:val="24"/>
          <w:szCs w:val="24"/>
        </w:rPr>
        <w:t xml:space="preserve">. The trial court held that Gant’s Fourth Amendment right was not violated because </w:t>
      </w:r>
      <w:r w:rsidRPr="004D736C">
        <w:rPr>
          <w:rFonts w:ascii="Book Antiqua" w:hAnsi="Book Antiqua"/>
          <w:sz w:val="24"/>
          <w:szCs w:val="24"/>
          <w:u w:val="single"/>
        </w:rPr>
        <w:t>the search was done incident to a lawful arrest</w:t>
      </w:r>
      <w:r>
        <w:rPr>
          <w:rFonts w:ascii="Book Antiqua" w:hAnsi="Book Antiqua"/>
          <w:sz w:val="24"/>
          <w:szCs w:val="24"/>
        </w:rPr>
        <w:t>. Gant</w:t>
      </w:r>
      <w:r w:rsidRPr="00B05690">
        <w:rPr>
          <w:rFonts w:ascii="Book Antiqua" w:hAnsi="Book Antiqua"/>
          <w:sz w:val="24"/>
          <w:szCs w:val="24"/>
        </w:rPr>
        <w:t xml:space="preserve"> was </w:t>
      </w:r>
      <w:r w:rsidRPr="004D736C">
        <w:rPr>
          <w:rFonts w:ascii="Book Antiqua" w:hAnsi="Book Antiqua"/>
          <w:sz w:val="24"/>
          <w:szCs w:val="24"/>
          <w:u w:val="single"/>
        </w:rPr>
        <w:t>subsequently</w:t>
      </w:r>
      <w:r w:rsidRPr="00E3630F">
        <w:rPr>
          <w:rFonts w:ascii="Book Antiqua" w:hAnsi="Book Antiqua"/>
          <w:color w:val="00B050"/>
          <w:sz w:val="24"/>
          <w:szCs w:val="24"/>
        </w:rPr>
        <w:t xml:space="preserve"> </w:t>
      </w:r>
      <w:r w:rsidRPr="00B05690">
        <w:rPr>
          <w:rFonts w:ascii="Book Antiqua" w:hAnsi="Book Antiqua"/>
          <w:sz w:val="24"/>
          <w:szCs w:val="24"/>
        </w:rPr>
        <w:t>convicted of drug offenses and sentenced to three years in prison.</w:t>
      </w:r>
    </w:p>
    <w:p w:rsidR="0077289B" w:rsidRPr="00B05690" w:rsidRDefault="0077289B" w:rsidP="0077289B">
      <w:pPr>
        <w:spacing w:after="0" w:line="240" w:lineRule="atLeast"/>
        <w:jc w:val="both"/>
        <w:textAlignment w:val="baseline"/>
        <w:rPr>
          <w:rFonts w:ascii="Book Antiqua" w:eastAsia="Times New Roman" w:hAnsi="Book Antiqua" w:cs="Arial"/>
          <w:color w:val="333333"/>
          <w:sz w:val="24"/>
          <w:szCs w:val="24"/>
        </w:rPr>
      </w:pPr>
      <w:r w:rsidRPr="00AF2120">
        <w:rPr>
          <w:rFonts w:ascii="Book Antiqua" w:hAnsi="Book Antiqua"/>
          <w:b/>
          <w:sz w:val="24"/>
          <w:szCs w:val="24"/>
        </w:rPr>
        <w:t>The Arizona Court of Appeals</w:t>
      </w:r>
      <w:r w:rsidRPr="00D607A8">
        <w:rPr>
          <w:rFonts w:ascii="Book Antiqua" w:hAnsi="Book Antiqua"/>
          <w:sz w:val="24"/>
          <w:szCs w:val="24"/>
        </w:rPr>
        <w:t xml:space="preserve"> </w:t>
      </w:r>
      <w:r w:rsidRPr="004D736C">
        <w:rPr>
          <w:rFonts w:ascii="Book Antiqua" w:hAnsi="Book Antiqua"/>
          <w:sz w:val="24"/>
          <w:szCs w:val="24"/>
          <w:u w:val="single"/>
        </w:rPr>
        <w:t>reversed</w:t>
      </w:r>
      <w:r w:rsidRPr="00D607A8">
        <w:rPr>
          <w:rFonts w:ascii="Book Antiqua" w:hAnsi="Book Antiqua"/>
          <w:sz w:val="24"/>
          <w:szCs w:val="24"/>
        </w:rPr>
        <w:t>, holding the search unconstitutional, and the Arizona Supreme Court agreed</w:t>
      </w:r>
      <w:r>
        <w:rPr>
          <w:rFonts w:ascii="Book Antiqua" w:hAnsi="Book Antiqua"/>
          <w:sz w:val="24"/>
          <w:szCs w:val="24"/>
        </w:rPr>
        <w:t xml:space="preserve"> </w:t>
      </w:r>
      <w:r w:rsidRPr="00D607A8">
        <w:rPr>
          <w:rFonts w:ascii="Book Antiqua" w:hAnsi="Book Antiqua"/>
          <w:sz w:val="24"/>
          <w:szCs w:val="24"/>
        </w:rPr>
        <w:t>h</w:t>
      </w:r>
      <w:r>
        <w:rPr>
          <w:rFonts w:ascii="Book Antiqua" w:hAnsi="Book Antiqua"/>
          <w:sz w:val="24"/>
          <w:szCs w:val="24"/>
        </w:rPr>
        <w:t>olding</w:t>
      </w:r>
      <w:r w:rsidRPr="00D607A8">
        <w:rPr>
          <w:rFonts w:ascii="Book Antiqua" w:hAnsi="Book Antiqua"/>
          <w:sz w:val="24"/>
          <w:szCs w:val="24"/>
        </w:rPr>
        <w:t xml:space="preserve"> the search violated the Fourth Amendment.</w:t>
      </w:r>
    </w:p>
    <w:p w:rsidR="0077289B" w:rsidRDefault="0077289B" w:rsidP="0077289B">
      <w:pPr>
        <w:spacing w:after="0" w:line="240" w:lineRule="atLeast"/>
        <w:jc w:val="both"/>
        <w:textAlignment w:val="baseline"/>
        <w:rPr>
          <w:rFonts w:ascii="Book Antiqua" w:hAnsi="Book Antiqua"/>
          <w:sz w:val="24"/>
          <w:szCs w:val="24"/>
          <w:u w:val="single"/>
        </w:rPr>
      </w:pPr>
      <w:r w:rsidRPr="00AF2120">
        <w:rPr>
          <w:rFonts w:ascii="Book Antiqua" w:hAnsi="Book Antiqua"/>
          <w:b/>
          <w:sz w:val="24"/>
          <w:szCs w:val="24"/>
        </w:rPr>
        <w:t>The Supreme Court of the United States</w:t>
      </w:r>
      <w:r w:rsidRPr="00D607A8">
        <w:rPr>
          <w:rFonts w:ascii="Book Antiqua" w:hAnsi="Book Antiqua"/>
          <w:sz w:val="24"/>
          <w:szCs w:val="24"/>
        </w:rPr>
        <w:t xml:space="preserve"> </w:t>
      </w:r>
      <w:r w:rsidRPr="004D736C">
        <w:rPr>
          <w:rFonts w:ascii="Book Antiqua" w:hAnsi="Book Antiqua"/>
          <w:sz w:val="24"/>
          <w:szCs w:val="24"/>
          <w:u w:val="single"/>
        </w:rPr>
        <w:t>granted certiorari</w:t>
      </w:r>
      <w:r>
        <w:rPr>
          <w:rFonts w:ascii="Book Antiqua" w:hAnsi="Book Antiqua"/>
          <w:sz w:val="24"/>
          <w:szCs w:val="24"/>
          <w:u w:val="single"/>
        </w:rPr>
        <w:t>.</w:t>
      </w:r>
    </w:p>
    <w:p w:rsidR="0077289B" w:rsidRPr="00D607A8" w:rsidRDefault="0077289B" w:rsidP="0077289B">
      <w:pPr>
        <w:spacing w:after="0" w:line="240" w:lineRule="atLeast"/>
        <w:jc w:val="both"/>
        <w:textAlignment w:val="baseline"/>
        <w:rPr>
          <w:rFonts w:ascii="Book Antiqua" w:hAnsi="Book Antiqua"/>
          <w:sz w:val="24"/>
          <w:szCs w:val="24"/>
        </w:rPr>
      </w:pPr>
      <w:r w:rsidRPr="00D607A8">
        <w:rPr>
          <w:rFonts w:ascii="Book Antiqua" w:hAnsi="Book Antiqua"/>
          <w:sz w:val="24"/>
          <w:szCs w:val="24"/>
        </w:rPr>
        <w:t>In seeking certiorari, Arizona Attorney General Terry Goddard argued that the Arizona Supreme Court's ruling conflicted with the Court's precedent, as well as precedents set forth in various federal and state courts.</w:t>
      </w:r>
    </w:p>
    <w:p w:rsidR="0077289B" w:rsidRDefault="0077289B" w:rsidP="0077289B">
      <w:pPr>
        <w:spacing w:after="0" w:line="240" w:lineRule="atLeast"/>
        <w:jc w:val="both"/>
        <w:textAlignment w:val="baseline"/>
        <w:rPr>
          <w:rFonts w:ascii="Book Antiqua" w:eastAsia="Times New Roman" w:hAnsi="Book Antiqua" w:cs="Arial"/>
          <w:color w:val="333333"/>
          <w:sz w:val="24"/>
          <w:szCs w:val="24"/>
          <w:u w:val="single"/>
          <w:bdr w:val="none" w:sz="0" w:space="0" w:color="auto" w:frame="1"/>
        </w:rPr>
      </w:pPr>
    </w:p>
    <w:p w:rsidR="0077289B" w:rsidRPr="00D607A8" w:rsidRDefault="0077289B" w:rsidP="0077289B">
      <w:pPr>
        <w:spacing w:after="0" w:line="240" w:lineRule="atLeast"/>
        <w:jc w:val="both"/>
        <w:textAlignment w:val="baseline"/>
        <w:rPr>
          <w:rFonts w:ascii="Book Antiqua" w:eastAsia="Times New Roman" w:hAnsi="Book Antiqua" w:cs="Arial"/>
          <w:color w:val="333333"/>
          <w:sz w:val="24"/>
          <w:szCs w:val="24"/>
          <w:u w:val="single"/>
          <w:bdr w:val="none" w:sz="0" w:space="0" w:color="auto" w:frame="1"/>
        </w:rPr>
      </w:pPr>
    </w:p>
    <w:p w:rsidR="0077289B" w:rsidRDefault="0077289B" w:rsidP="0077289B">
      <w:pPr>
        <w:spacing w:after="0" w:line="240" w:lineRule="atLeast"/>
        <w:jc w:val="both"/>
        <w:textAlignment w:val="baseline"/>
        <w:rPr>
          <w:rFonts w:ascii="Book Antiqua" w:hAnsi="Book Antiqua"/>
          <w:sz w:val="24"/>
          <w:szCs w:val="24"/>
        </w:rPr>
      </w:pPr>
    </w:p>
    <w:p w:rsidR="008F0D09" w:rsidRDefault="0077289B" w:rsidP="0077289B">
      <w:pPr>
        <w:spacing w:after="0" w:line="240" w:lineRule="atLeast"/>
        <w:jc w:val="both"/>
        <w:textAlignment w:val="baseline"/>
        <w:rPr>
          <w:rFonts w:ascii="Book Antiqua" w:hAnsi="Book Antiqua"/>
          <w:sz w:val="24"/>
          <w:szCs w:val="24"/>
        </w:rPr>
      </w:pPr>
      <w:r w:rsidRPr="00EE212B">
        <w:rPr>
          <w:rFonts w:ascii="Book Antiqua" w:hAnsi="Book Antiqua"/>
          <w:b/>
          <w:color w:val="FF0000"/>
          <w:sz w:val="24"/>
          <w:szCs w:val="24"/>
        </w:rPr>
        <w:t>F.</w:t>
      </w:r>
      <w:r w:rsidRPr="00EE212B">
        <w:rPr>
          <w:rFonts w:ascii="Book Antiqua" w:hAnsi="Book Antiqua"/>
          <w:color w:val="FF0000"/>
          <w:sz w:val="24"/>
          <w:szCs w:val="24"/>
        </w:rPr>
        <w:t xml:space="preserve"> </w:t>
      </w:r>
      <w:r w:rsidRPr="00D607A8">
        <w:rPr>
          <w:rFonts w:ascii="Book Antiqua" w:hAnsi="Book Antiqua"/>
          <w:sz w:val="24"/>
          <w:szCs w:val="24"/>
        </w:rPr>
        <w:t xml:space="preserve">Yes, under the circumstances of this case. </w:t>
      </w:r>
      <w:r w:rsidR="008F0D09" w:rsidRPr="00D607A8">
        <w:rPr>
          <w:rFonts w:ascii="Book Antiqua" w:hAnsi="Book Antiqua"/>
          <w:sz w:val="24"/>
          <w:szCs w:val="24"/>
        </w:rPr>
        <w:t xml:space="preserve">The Supreme Court stated that exceptions to the Fourth Amendment warrant requirement must be justified by concerns for officer safety or evidence preservation. Because Gant left his vehicle voluntarily, the court explained, the search was not directly linked to the arrest and therefore violated the Fourth Amendment. </w:t>
      </w:r>
    </w:p>
    <w:p w:rsidR="0077289B" w:rsidRPr="00D607A8" w:rsidRDefault="0077289B" w:rsidP="0077289B">
      <w:pPr>
        <w:spacing w:after="0" w:line="240" w:lineRule="atLeast"/>
        <w:jc w:val="both"/>
        <w:textAlignment w:val="baseline"/>
        <w:rPr>
          <w:rFonts w:ascii="Book Antiqua" w:eastAsia="Times New Roman" w:hAnsi="Book Antiqua" w:cs="Arial"/>
          <w:color w:val="333333"/>
          <w:sz w:val="24"/>
          <w:szCs w:val="24"/>
        </w:rPr>
      </w:pPr>
      <w:r w:rsidRPr="00D607A8">
        <w:rPr>
          <w:rFonts w:ascii="Book Antiqua" w:hAnsi="Book Antiqua"/>
          <w:sz w:val="24"/>
          <w:szCs w:val="24"/>
        </w:rPr>
        <w:t>The Supreme Court held that police may search the vehicle of its recent occupant after his arrest only if it is reasonable to believe that the arrestee might access the vehicle at the time of the search or that the vehicle contains evidence of the offense of the arrest. With Justice John Paul Stevens writing for the majority and joined by Justices Antonin G. Scalia, David H. Souter, Clarence Thomas, and Ruth Bader Ginsburg, the Court reasoned that "warrantless searches are per se unreasonable" and subject only to a few, very narrow exceptions. Here, Mr. Gant was arrested for a suspended license and the narrow exceptions did not apply to his case.</w:t>
      </w:r>
    </w:p>
    <w:p w:rsidR="0077289B" w:rsidRDefault="0077289B" w:rsidP="0077289B">
      <w:pPr>
        <w:spacing w:after="0" w:line="240" w:lineRule="atLeast"/>
        <w:jc w:val="both"/>
        <w:textAlignment w:val="baseline"/>
        <w:rPr>
          <w:rFonts w:ascii="Book Antiqua" w:eastAsia="Times New Roman" w:hAnsi="Book Antiqua" w:cs="Arial"/>
          <w:color w:val="333333"/>
          <w:sz w:val="24"/>
          <w:szCs w:val="24"/>
          <w:u w:val="single"/>
          <w:bdr w:val="none" w:sz="0" w:space="0" w:color="auto" w:frame="1"/>
        </w:rPr>
      </w:pPr>
    </w:p>
    <w:p w:rsidR="0077289B" w:rsidRDefault="0077289B" w:rsidP="0077289B">
      <w:pPr>
        <w:jc w:val="both"/>
        <w:rPr>
          <w:rFonts w:ascii="Book Antiqua" w:hAnsi="Book Antiqua"/>
          <w:sz w:val="24"/>
          <w:szCs w:val="24"/>
        </w:rPr>
      </w:pPr>
    </w:p>
    <w:p w:rsidR="0077289B" w:rsidRDefault="0077289B" w:rsidP="0077289B"/>
    <w:p w:rsidR="00F45CCF" w:rsidRDefault="00F45CCF"/>
    <w:sectPr w:rsidR="00F45CCF" w:rsidSect="00E3630F">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89B"/>
    <w:rsid w:val="004D5B5A"/>
    <w:rsid w:val="0077289B"/>
    <w:rsid w:val="008F0D09"/>
    <w:rsid w:val="00F45C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D9475"/>
  <w15:chartTrackingRefBased/>
  <w15:docId w15:val="{813AD84F-A47A-4C4C-83E8-79FB6F5B0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289B"/>
    <w:rPr>
      <w:lang w:val="en-US"/>
    </w:rPr>
  </w:style>
  <w:style w:type="paragraph" w:styleId="Titre1">
    <w:name w:val="heading 1"/>
    <w:basedOn w:val="Normal"/>
    <w:link w:val="Titre1Car"/>
    <w:uiPriority w:val="9"/>
    <w:qFormat/>
    <w:rsid w:val="0077289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next w:val="Normal"/>
    <w:link w:val="Titre2Car"/>
    <w:uiPriority w:val="9"/>
    <w:semiHidden/>
    <w:unhideWhenUsed/>
    <w:qFormat/>
    <w:rsid w:val="007728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7289B"/>
    <w:rPr>
      <w:rFonts w:ascii="Times New Roman" w:eastAsia="Times New Roman" w:hAnsi="Times New Roman" w:cs="Times New Roman"/>
      <w:b/>
      <w:bCs/>
      <w:kern w:val="36"/>
      <w:sz w:val="48"/>
      <w:szCs w:val="48"/>
      <w:lang w:val="en-US"/>
    </w:rPr>
  </w:style>
  <w:style w:type="character" w:customStyle="1" w:styleId="Titre2Car">
    <w:name w:val="Titre 2 Car"/>
    <w:basedOn w:val="Policepardfaut"/>
    <w:link w:val="Titre2"/>
    <w:uiPriority w:val="9"/>
    <w:semiHidden/>
    <w:rsid w:val="0077289B"/>
    <w:rPr>
      <w:rFonts w:asciiTheme="majorHAnsi" w:eastAsiaTheme="majorEastAsia" w:hAnsiTheme="majorHAnsi" w:cstheme="majorBidi"/>
      <w:color w:val="2F5496" w:themeColor="accent1" w:themeShade="BF"/>
      <w:sz w:val="26"/>
      <w:szCs w:val="26"/>
      <w:lang w:val="en-US"/>
    </w:rPr>
  </w:style>
  <w:style w:type="character" w:styleId="Lienhypertexte">
    <w:name w:val="Hyperlink"/>
    <w:basedOn w:val="Policepardfaut"/>
    <w:uiPriority w:val="99"/>
    <w:semiHidden/>
    <w:unhideWhenUsed/>
    <w:rsid w:val="0077289B"/>
    <w:rPr>
      <w:color w:val="0000FF"/>
      <w:u w:val="single"/>
    </w:rPr>
  </w:style>
  <w:style w:type="paragraph" w:styleId="NormalWeb">
    <w:name w:val="Normal (Web)"/>
    <w:basedOn w:val="Normal"/>
    <w:uiPriority w:val="99"/>
    <w:unhideWhenUsed/>
    <w:rsid w:val="0077289B"/>
    <w:pPr>
      <w:spacing w:before="100" w:beforeAutospacing="1" w:after="100" w:afterAutospacing="1" w:line="240" w:lineRule="auto"/>
    </w:pPr>
    <w:rPr>
      <w:rFonts w:ascii="Times New Roman" w:eastAsia="Times New Roman" w:hAnsi="Times New Roman" w:cs="Times New Roman"/>
      <w:sz w:val="24"/>
      <w:szCs w:val="24"/>
    </w:rPr>
  </w:style>
  <w:style w:type="character" w:styleId="Accentuation">
    <w:name w:val="Emphasis"/>
    <w:basedOn w:val="Policepardfaut"/>
    <w:uiPriority w:val="20"/>
    <w:qFormat/>
    <w:rsid w:val="0077289B"/>
    <w:rPr>
      <w:i/>
      <w:iCs/>
    </w:rPr>
  </w:style>
  <w:style w:type="character" w:styleId="lev">
    <w:name w:val="Strong"/>
    <w:basedOn w:val="Policepardfaut"/>
    <w:uiPriority w:val="22"/>
    <w:qFormat/>
    <w:rsid w:val="007728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egaldictionary.net/chimel-v-california/"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956</Words>
  <Characters>5259</Characters>
  <Application>Microsoft Office Word</Application>
  <DocSecurity>0</DocSecurity>
  <Lines>43</Lines>
  <Paragraphs>12</Paragraphs>
  <ScaleCrop>false</ScaleCrop>
  <HeadingPairs>
    <vt:vector size="4" baseType="variant">
      <vt:variant>
        <vt:lpstr>Titre</vt:lpstr>
      </vt:variant>
      <vt:variant>
        <vt:i4>1</vt:i4>
      </vt:variant>
      <vt:variant>
        <vt:lpstr>Titres</vt:lpstr>
      </vt:variant>
      <vt:variant>
        <vt:i4>2</vt:i4>
      </vt:variant>
    </vt:vector>
  </HeadingPairs>
  <TitlesOfParts>
    <vt:vector size="3" baseType="lpstr">
      <vt:lpstr/>
      <vt:lpstr>Arizona v. Gant, 556 U.S. 332 (2009)</vt:lpstr>
      <vt:lpstr>    </vt:lpstr>
    </vt:vector>
  </TitlesOfParts>
  <Company>Université de Lorraine</Company>
  <LinksUpToDate>false</LinksUpToDate>
  <CharactersWithSpaces>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Annabel Mangin</dc:creator>
  <cp:keywords/>
  <dc:description/>
  <cp:lastModifiedBy>Annabel Mangin</cp:lastModifiedBy>
  <cp:revision>3</cp:revision>
  <dcterms:created xsi:type="dcterms:W3CDTF">2022-01-14T12:48:00Z</dcterms:created>
  <dcterms:modified xsi:type="dcterms:W3CDTF">2022-01-14T12:48:00Z</dcterms:modified>
</cp:coreProperties>
</file>