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1AB" w:rsidRDefault="008971AB" w:rsidP="008971AB">
      <w:pPr>
        <w:rPr>
          <w:rFonts w:ascii="Arial Narrow" w:hAnsi="Arial Narrow"/>
          <w:b/>
          <w:color w:val="A6A6A6" w:themeColor="background1" w:themeShade="A6"/>
          <w:sz w:val="24"/>
          <w:szCs w:val="24"/>
          <w:lang w:val="en-US"/>
        </w:rPr>
      </w:pPr>
      <w:r w:rsidRPr="007657C3">
        <w:rPr>
          <w:rFonts w:ascii="Arial Narrow" w:hAnsi="Arial Narrow"/>
          <w:b/>
          <w:color w:val="A6A6A6" w:themeColor="background1" w:themeShade="A6"/>
          <w:sz w:val="24"/>
          <w:szCs w:val="24"/>
          <w:lang w:val="en-US"/>
        </w:rPr>
        <w:t>CASE BRIEF</w:t>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r>
      <w:r w:rsidRPr="007657C3">
        <w:rPr>
          <w:rFonts w:ascii="Arial Narrow" w:hAnsi="Arial Narrow"/>
          <w:b/>
          <w:color w:val="A6A6A6" w:themeColor="background1" w:themeShade="A6"/>
          <w:sz w:val="24"/>
          <w:szCs w:val="24"/>
          <w:lang w:val="en-US"/>
        </w:rPr>
        <w:tab/>
        <w:t>DROIT ANGLAIS L3</w:t>
      </w:r>
      <w:r w:rsidR="00982031">
        <w:rPr>
          <w:rFonts w:ascii="Arial Narrow" w:hAnsi="Arial Narrow"/>
          <w:b/>
          <w:color w:val="A6A6A6" w:themeColor="background1" w:themeShade="A6"/>
          <w:sz w:val="24"/>
          <w:szCs w:val="24"/>
          <w:lang w:val="en-US"/>
        </w:rPr>
        <w:t xml:space="preserve"> – S5</w:t>
      </w:r>
    </w:p>
    <w:p w:rsidR="008971AB" w:rsidRPr="007657C3" w:rsidRDefault="007657C3" w:rsidP="008971AB">
      <w:pPr>
        <w:jc w:val="center"/>
        <w:rPr>
          <w:rFonts w:ascii="Arial Narrow" w:hAnsi="Arial Narrow"/>
          <w:b/>
          <w:color w:val="FF0000"/>
          <w:sz w:val="24"/>
          <w:szCs w:val="24"/>
          <w:lang w:val="en-US"/>
        </w:rPr>
      </w:pPr>
      <w:bookmarkStart w:id="0" w:name="_GoBack"/>
      <w:bookmarkEnd w:id="0"/>
      <w:r w:rsidRPr="007657C3">
        <w:rPr>
          <w:rFonts w:ascii="Arial Narrow" w:hAnsi="Arial Narrow"/>
          <w:b/>
          <w:color w:val="FF0000"/>
          <w:sz w:val="24"/>
          <w:szCs w:val="24"/>
          <w:lang w:val="en-US"/>
        </w:rPr>
        <w:t xml:space="preserve">THE </w:t>
      </w:r>
      <w:r w:rsidR="008971AB" w:rsidRPr="007657C3">
        <w:rPr>
          <w:rFonts w:ascii="Arial Narrow" w:hAnsi="Arial Narrow"/>
          <w:b/>
          <w:color w:val="FF0000"/>
          <w:sz w:val="24"/>
          <w:szCs w:val="24"/>
          <w:lang w:val="en-US"/>
        </w:rPr>
        <w:t>U.S. COURT SYSTEM</w:t>
      </w:r>
    </w:p>
    <w:p w:rsidR="008971AB" w:rsidRPr="007657C3" w:rsidRDefault="00DA26A3" w:rsidP="00DA26A3">
      <w:pPr>
        <w:spacing w:before="100" w:beforeAutospacing="1" w:after="100" w:afterAutospacing="1" w:line="240" w:lineRule="auto"/>
        <w:jc w:val="center"/>
        <w:outlineLvl w:val="2"/>
        <w:rPr>
          <w:rFonts w:ascii="Courier New" w:eastAsia="Times New Roman" w:hAnsi="Courier New" w:cs="Courier New"/>
          <w:b/>
          <w:bCs/>
          <w:color w:val="00B050"/>
          <w:sz w:val="24"/>
          <w:szCs w:val="24"/>
          <w:lang w:val="en-US" w:eastAsia="fr-FR"/>
        </w:rPr>
      </w:pPr>
      <w:r w:rsidRPr="007657C3">
        <w:rPr>
          <w:rFonts w:ascii="Courier New" w:eastAsia="Times New Roman" w:hAnsi="Courier New" w:cs="Courier New"/>
          <w:b/>
          <w:bCs/>
          <w:color w:val="00B050"/>
          <w:sz w:val="24"/>
          <w:szCs w:val="24"/>
          <w:lang w:val="en-US" w:eastAsia="fr-FR"/>
        </w:rPr>
        <w:t>A Dual Court System:</w:t>
      </w:r>
      <w:r w:rsidR="008971AB" w:rsidRPr="007657C3">
        <w:rPr>
          <w:rFonts w:ascii="Courier New" w:eastAsia="Times New Roman" w:hAnsi="Courier New" w:cs="Courier New"/>
          <w:b/>
          <w:bCs/>
          <w:color w:val="00B050"/>
          <w:sz w:val="24"/>
          <w:szCs w:val="24"/>
          <w:lang w:val="en-US" w:eastAsia="fr-FR"/>
        </w:rPr>
        <w:t>  State vs. Federal</w:t>
      </w:r>
    </w:p>
    <w:tbl>
      <w:tblPr>
        <w:tblStyle w:val="Grilledutableau"/>
        <w:tblW w:w="10206" w:type="dxa"/>
        <w:tblInd w:w="-572" w:type="dxa"/>
        <w:tblLook w:val="04A0" w:firstRow="1" w:lastRow="0" w:firstColumn="1" w:lastColumn="0" w:noHBand="0" w:noVBand="1"/>
      </w:tblPr>
      <w:tblGrid>
        <w:gridCol w:w="5103"/>
        <w:gridCol w:w="5103"/>
      </w:tblGrid>
      <w:tr w:rsidR="008971AB" w:rsidRPr="007657C3" w:rsidTr="00DA26A3">
        <w:trPr>
          <w:trHeight w:val="554"/>
        </w:trPr>
        <w:tc>
          <w:tcPr>
            <w:tcW w:w="5103" w:type="dxa"/>
          </w:tcPr>
          <w:p w:rsidR="008971AB" w:rsidRPr="007657C3" w:rsidRDefault="008971AB" w:rsidP="008971AB">
            <w:pPr>
              <w:spacing w:before="100" w:beforeAutospacing="1" w:after="100" w:afterAutospacing="1"/>
              <w:jc w:val="center"/>
              <w:outlineLvl w:val="2"/>
              <w:rPr>
                <w:rFonts w:ascii="Times New Roman" w:eastAsia="Times New Roman" w:hAnsi="Times New Roman" w:cs="Times New Roman"/>
                <w:b/>
                <w:bCs/>
                <w:sz w:val="24"/>
                <w:szCs w:val="24"/>
                <w:lang w:eastAsia="fr-FR"/>
              </w:rPr>
            </w:pPr>
            <w:r w:rsidRPr="007657C3">
              <w:rPr>
                <w:rFonts w:ascii="Times New Roman" w:eastAsia="Times New Roman" w:hAnsi="Times New Roman" w:cs="Times New Roman"/>
                <w:b/>
                <w:bCs/>
                <w:sz w:val="24"/>
                <w:szCs w:val="24"/>
                <w:lang w:eastAsia="fr-FR"/>
              </w:rPr>
              <w:t>State Courts</w:t>
            </w:r>
          </w:p>
        </w:tc>
        <w:tc>
          <w:tcPr>
            <w:tcW w:w="5103" w:type="dxa"/>
          </w:tcPr>
          <w:p w:rsidR="008971AB" w:rsidRPr="007657C3" w:rsidRDefault="008971AB" w:rsidP="007657C3">
            <w:pPr>
              <w:spacing w:before="100" w:beforeAutospacing="1" w:after="100" w:afterAutospacing="1"/>
              <w:jc w:val="center"/>
              <w:outlineLvl w:val="2"/>
              <w:rPr>
                <w:rFonts w:ascii="Times New Roman" w:eastAsia="Times New Roman" w:hAnsi="Times New Roman" w:cs="Times New Roman"/>
                <w:b/>
                <w:bCs/>
                <w:sz w:val="24"/>
                <w:szCs w:val="24"/>
                <w:lang w:eastAsia="fr-FR"/>
              </w:rPr>
            </w:pPr>
            <w:proofErr w:type="spellStart"/>
            <w:r w:rsidRPr="007657C3">
              <w:rPr>
                <w:rFonts w:ascii="Times New Roman" w:eastAsia="Times New Roman" w:hAnsi="Times New Roman" w:cs="Times New Roman"/>
                <w:b/>
                <w:bCs/>
                <w:sz w:val="24"/>
                <w:szCs w:val="24"/>
                <w:lang w:eastAsia="fr-FR"/>
              </w:rPr>
              <w:t>Federal</w:t>
            </w:r>
            <w:proofErr w:type="spellEnd"/>
            <w:r w:rsidRPr="007657C3">
              <w:rPr>
                <w:rFonts w:ascii="Times New Roman" w:eastAsia="Times New Roman" w:hAnsi="Times New Roman" w:cs="Times New Roman"/>
                <w:b/>
                <w:bCs/>
                <w:sz w:val="24"/>
                <w:szCs w:val="24"/>
                <w:lang w:eastAsia="fr-FR"/>
              </w:rPr>
              <w:t xml:space="preserve"> Courts</w:t>
            </w:r>
          </w:p>
        </w:tc>
      </w:tr>
      <w:tr w:rsidR="008971AB" w:rsidRPr="00982031" w:rsidTr="008971AB">
        <w:tc>
          <w:tcPr>
            <w:tcW w:w="5103" w:type="dxa"/>
          </w:tcPr>
          <w:p w:rsidR="008971AB" w:rsidRPr="007657C3" w:rsidRDefault="008971AB" w:rsidP="008971AB">
            <w:pPr>
              <w:spacing w:before="100" w:beforeAutospacing="1" w:after="100" w:afterAutospacing="1"/>
              <w:jc w:val="both"/>
              <w:outlineLvl w:val="1"/>
              <w:rPr>
                <w:rFonts w:eastAsia="Times New Roman" w:cstheme="minorHAnsi"/>
                <w:b/>
                <w:bCs/>
                <w:sz w:val="24"/>
                <w:szCs w:val="24"/>
                <w:lang w:val="en-US" w:eastAsia="fr-FR"/>
              </w:rPr>
            </w:pPr>
            <w:r w:rsidRPr="007657C3">
              <w:rPr>
                <w:rFonts w:eastAsia="Times New Roman" w:cstheme="minorHAnsi"/>
                <w:b/>
                <w:bCs/>
                <w:sz w:val="24"/>
                <w:szCs w:val="24"/>
                <w:lang w:val="en-US" w:eastAsia="fr-FR"/>
              </w:rPr>
              <w:t>General Jurisdiction</w:t>
            </w:r>
          </w:p>
          <w:p w:rsidR="008971AB"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State courts are courts of </w:t>
            </w:r>
            <w:hyperlink r:id="rId5" w:anchor="G" w:tgtFrame="_blank" w:tooltip="Glossary G " w:history="1">
              <w:r w:rsidRPr="007657C3">
                <w:rPr>
                  <w:rFonts w:eastAsia="Times New Roman" w:cstheme="minorHAnsi"/>
                  <w:bCs/>
                  <w:sz w:val="24"/>
                  <w:szCs w:val="24"/>
                  <w:lang w:val="en-US" w:eastAsia="fr-FR"/>
                </w:rPr>
                <w:t>"general jurisdiction"</w:t>
              </w:r>
            </w:hyperlink>
            <w:r w:rsidRPr="007657C3">
              <w:rPr>
                <w:rFonts w:eastAsia="Times New Roman" w:cstheme="minorHAnsi"/>
                <w:sz w:val="24"/>
                <w:szCs w:val="24"/>
                <w:lang w:val="en-US" w:eastAsia="fr-FR"/>
              </w:rPr>
              <w:t>. They hear all the cases not specifically selected for federal courts. Just as the federal courts interpret federal laws, state courts interpret state laws. Each state gets to make and interpret its own laws. This helps the states retain power, and makes sure that the national government does not become too strong.</w:t>
            </w:r>
          </w:p>
          <w:p w:rsidR="008971AB" w:rsidRPr="007657C3" w:rsidRDefault="008971AB" w:rsidP="008971AB">
            <w:pPr>
              <w:spacing w:before="100" w:beforeAutospacing="1" w:after="100" w:afterAutospacing="1"/>
              <w:jc w:val="both"/>
              <w:outlineLvl w:val="2"/>
              <w:rPr>
                <w:rFonts w:eastAsia="Times New Roman" w:cstheme="minorHAnsi"/>
                <w:bCs/>
                <w:sz w:val="24"/>
                <w:szCs w:val="24"/>
                <w:lang w:val="en-US" w:eastAsia="fr-FR"/>
              </w:rPr>
            </w:pPr>
          </w:p>
        </w:tc>
        <w:tc>
          <w:tcPr>
            <w:tcW w:w="5103" w:type="dxa"/>
          </w:tcPr>
          <w:p w:rsidR="008971AB" w:rsidRPr="007657C3" w:rsidRDefault="008971AB" w:rsidP="008971AB">
            <w:pPr>
              <w:spacing w:before="100" w:beforeAutospacing="1" w:after="100" w:afterAutospacing="1"/>
              <w:jc w:val="both"/>
              <w:outlineLvl w:val="1"/>
              <w:rPr>
                <w:rFonts w:eastAsia="Times New Roman" w:cstheme="minorHAnsi"/>
                <w:b/>
                <w:bCs/>
                <w:sz w:val="24"/>
                <w:szCs w:val="24"/>
                <w:lang w:val="en-US" w:eastAsia="fr-FR"/>
              </w:rPr>
            </w:pPr>
            <w:r w:rsidRPr="007657C3">
              <w:rPr>
                <w:rFonts w:eastAsia="Times New Roman" w:cstheme="minorHAnsi"/>
                <w:b/>
                <w:bCs/>
                <w:sz w:val="24"/>
                <w:szCs w:val="24"/>
                <w:lang w:val="en-US" w:eastAsia="fr-FR"/>
              </w:rPr>
              <w:t>Limited Jurisdiction</w:t>
            </w:r>
          </w:p>
          <w:p w:rsidR="008971AB"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As the framers wrote the Constitution, some feared that the federal courts might threaten the independence of the states and the people. To combat this fear the framers set up a federal court system that can only hear cases in special circumstances. We call this having“ </w:t>
            </w:r>
            <w:hyperlink r:id="rId6" w:anchor="L" w:tgtFrame="_blank" w:tooltip="Glossary L " w:history="1">
              <w:r w:rsidRPr="007657C3">
                <w:rPr>
                  <w:rFonts w:eastAsia="Times New Roman" w:cstheme="minorHAnsi"/>
                  <w:bCs/>
                  <w:sz w:val="24"/>
                  <w:szCs w:val="24"/>
                  <w:lang w:val="en-US" w:eastAsia="fr-FR"/>
                </w:rPr>
                <w:t>limited jurisdiction</w:t>
              </w:r>
            </w:hyperlink>
            <w:r w:rsidRPr="007657C3">
              <w:rPr>
                <w:rFonts w:eastAsia="Times New Roman" w:cstheme="minorHAnsi"/>
                <w:sz w:val="24"/>
                <w:szCs w:val="24"/>
                <w:lang w:val="en-US" w:eastAsia="fr-FR"/>
              </w:rPr>
              <w:t xml:space="preserve">.” Since the federal courts can only hear certain kinds of cases, most of the day-to-day cases that courts deal with happen in state courts. </w:t>
            </w:r>
          </w:p>
          <w:p w:rsidR="007657C3"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Basically, federal courts hear only 2 types of cases; those that raise a "</w:t>
            </w:r>
            <w:hyperlink r:id="rId7" w:anchor="F" w:tgtFrame="_blank" w:tooltip="Glossary F" w:history="1">
              <w:r w:rsidRPr="007657C3">
                <w:rPr>
                  <w:rFonts w:eastAsia="Times New Roman" w:cstheme="minorHAnsi"/>
                  <w:bCs/>
                  <w:sz w:val="24"/>
                  <w:szCs w:val="24"/>
                  <w:lang w:val="en-US" w:eastAsia="fr-FR"/>
                </w:rPr>
                <w:t>federal question</w:t>
              </w:r>
            </w:hyperlink>
            <w:r w:rsidRPr="007657C3">
              <w:rPr>
                <w:rFonts w:eastAsia="Times New Roman" w:cstheme="minorHAnsi"/>
                <w:sz w:val="24"/>
                <w:szCs w:val="24"/>
                <w:lang w:val="en-US" w:eastAsia="fr-FR"/>
              </w:rPr>
              <w:t>" and those involving “</w:t>
            </w:r>
            <w:hyperlink r:id="rId8" w:anchor="D" w:tgtFrame="_blank" w:tooltip="Glossary D" w:history="1">
              <w:r w:rsidRPr="007657C3">
                <w:rPr>
                  <w:rFonts w:eastAsia="Times New Roman" w:cstheme="minorHAnsi"/>
                  <w:bCs/>
                  <w:sz w:val="24"/>
                  <w:szCs w:val="24"/>
                  <w:lang w:val="en-US" w:eastAsia="fr-FR"/>
                </w:rPr>
                <w:t>diversity of citizenship</w:t>
              </w:r>
            </w:hyperlink>
            <w:r w:rsidRPr="007657C3">
              <w:rPr>
                <w:rFonts w:eastAsia="Times New Roman" w:cstheme="minorHAnsi"/>
                <w:sz w:val="24"/>
                <w:szCs w:val="24"/>
                <w:lang w:val="en-US" w:eastAsia="fr-FR"/>
              </w:rPr>
              <w:t>".</w:t>
            </w:r>
          </w:p>
          <w:p w:rsidR="007657C3" w:rsidRPr="007657C3" w:rsidRDefault="007657C3" w:rsidP="007657C3">
            <w:pPr>
              <w:jc w:val="both"/>
              <w:rPr>
                <w:rFonts w:eastAsia="Times New Roman" w:cstheme="minorHAnsi"/>
                <w:bCs/>
                <w:sz w:val="24"/>
                <w:szCs w:val="24"/>
                <w:lang w:val="en-US" w:eastAsia="fr-FR"/>
              </w:rPr>
            </w:pPr>
          </w:p>
        </w:tc>
      </w:tr>
      <w:tr w:rsidR="008971AB" w:rsidRPr="00982031" w:rsidTr="008971AB">
        <w:tc>
          <w:tcPr>
            <w:tcW w:w="5103" w:type="dxa"/>
          </w:tcPr>
          <w:p w:rsidR="008971AB" w:rsidRPr="007657C3" w:rsidRDefault="008971AB" w:rsidP="008971AB">
            <w:pPr>
              <w:spacing w:before="100" w:beforeAutospacing="1" w:after="100" w:afterAutospacing="1"/>
              <w:jc w:val="both"/>
              <w:outlineLvl w:val="1"/>
              <w:rPr>
                <w:rFonts w:eastAsia="Times New Roman" w:cstheme="minorHAnsi"/>
                <w:b/>
                <w:bCs/>
                <w:sz w:val="24"/>
                <w:szCs w:val="24"/>
                <w:lang w:val="en-US" w:eastAsia="fr-FR"/>
              </w:rPr>
            </w:pPr>
            <w:r w:rsidRPr="007657C3">
              <w:rPr>
                <w:rFonts w:eastAsia="Times New Roman" w:cstheme="minorHAnsi"/>
                <w:b/>
                <w:bCs/>
                <w:sz w:val="24"/>
                <w:szCs w:val="24"/>
                <w:lang w:val="en-US" w:eastAsia="fr-FR"/>
              </w:rPr>
              <w:t>Types of Cases</w:t>
            </w:r>
          </w:p>
          <w:p w:rsidR="008971AB"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About 90% of all the cases heard in the American court system happen at the state level. Examples include: </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A crime that is a violation of state law. Most criminal activity falls in this category, such as robbery, assault, murder, and many drug-related crimes.</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A controversy arising out of the state constitution or other state laws.</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A case in which the state is a party, such as state tax violations.</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Most real estate cases, malpractice, personal injury cases, and contract disputes.</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All family, divorce, custody, inheritance and probate cases.</w:t>
            </w:r>
          </w:p>
          <w:p w:rsidR="008971AB" w:rsidRPr="007657C3" w:rsidRDefault="008971AB" w:rsidP="008971AB">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Most traffic and juvenile cases.</w:t>
            </w:r>
          </w:p>
          <w:p w:rsidR="008971AB" w:rsidRPr="007657C3" w:rsidRDefault="008971AB" w:rsidP="008971AB">
            <w:pPr>
              <w:spacing w:before="100" w:beforeAutospacing="1" w:after="100" w:afterAutospacing="1"/>
              <w:jc w:val="both"/>
              <w:outlineLvl w:val="2"/>
              <w:rPr>
                <w:rFonts w:eastAsia="Times New Roman" w:cstheme="minorHAnsi"/>
                <w:b/>
                <w:bCs/>
                <w:sz w:val="24"/>
                <w:szCs w:val="24"/>
                <w:lang w:val="en-US" w:eastAsia="fr-FR"/>
              </w:rPr>
            </w:pPr>
          </w:p>
        </w:tc>
        <w:tc>
          <w:tcPr>
            <w:tcW w:w="5103" w:type="dxa"/>
          </w:tcPr>
          <w:p w:rsidR="008971AB" w:rsidRPr="007657C3" w:rsidRDefault="008971AB" w:rsidP="008971AB">
            <w:pPr>
              <w:spacing w:before="100" w:beforeAutospacing="1" w:after="100" w:afterAutospacing="1"/>
              <w:jc w:val="both"/>
              <w:outlineLvl w:val="1"/>
              <w:rPr>
                <w:rFonts w:eastAsia="Times New Roman" w:cstheme="minorHAnsi"/>
                <w:b/>
                <w:bCs/>
                <w:sz w:val="24"/>
                <w:szCs w:val="24"/>
                <w:lang w:val="en-US" w:eastAsia="fr-FR"/>
              </w:rPr>
            </w:pPr>
            <w:r w:rsidRPr="007657C3">
              <w:rPr>
                <w:rFonts w:eastAsia="Times New Roman" w:cstheme="minorHAnsi"/>
                <w:b/>
                <w:bCs/>
                <w:sz w:val="24"/>
                <w:szCs w:val="24"/>
                <w:lang w:val="en-US" w:eastAsia="fr-FR"/>
              </w:rPr>
              <w:t>Federal Question Cases</w:t>
            </w:r>
          </w:p>
          <w:p w:rsidR="008971AB"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These cases involve the U.S. Government, the U.S. Constitution or other federal laws. Examples include: </w:t>
            </w: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A crime that is a violation of federal law, such as bank robbery, drug cases, guns, or kidnapping.</w:t>
            </w:r>
          </w:p>
          <w:p w:rsidR="007657C3" w:rsidRPr="007657C3" w:rsidRDefault="007657C3" w:rsidP="007657C3">
            <w:pPr>
              <w:jc w:val="both"/>
              <w:rPr>
                <w:rFonts w:eastAsia="Times New Roman" w:cstheme="minorHAnsi"/>
                <w:sz w:val="24"/>
                <w:szCs w:val="24"/>
                <w:lang w:val="en-US" w:eastAsia="fr-FR"/>
              </w:rPr>
            </w:pP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Civil cases based on federal laws, such as laws prohibiting employment discrimination, or laws regulating securities trading or competition (anti-trust).</w:t>
            </w:r>
          </w:p>
          <w:p w:rsidR="007657C3" w:rsidRPr="007657C3" w:rsidRDefault="007657C3" w:rsidP="007657C3">
            <w:pPr>
              <w:jc w:val="both"/>
              <w:rPr>
                <w:rFonts w:eastAsia="Times New Roman" w:cstheme="minorHAnsi"/>
                <w:sz w:val="24"/>
                <w:szCs w:val="24"/>
                <w:lang w:val="en-US" w:eastAsia="fr-FR"/>
              </w:rPr>
            </w:pP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Cases involving interstate commerce or interstate criminal activity.</w:t>
            </w:r>
          </w:p>
          <w:p w:rsidR="007657C3" w:rsidRPr="007657C3" w:rsidRDefault="007657C3" w:rsidP="007657C3">
            <w:pPr>
              <w:jc w:val="both"/>
              <w:rPr>
                <w:rFonts w:eastAsia="Times New Roman" w:cstheme="minorHAnsi"/>
                <w:sz w:val="24"/>
                <w:szCs w:val="24"/>
                <w:lang w:val="en-US" w:eastAsia="fr-FR"/>
              </w:rPr>
            </w:pP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A controversy arising out of the U.S. Constitution or other federal laws, such as a violation of a protection guaranteed by the Bill of Rights.</w:t>
            </w:r>
          </w:p>
          <w:p w:rsidR="007657C3" w:rsidRPr="007657C3" w:rsidRDefault="007657C3" w:rsidP="007657C3">
            <w:pPr>
              <w:jc w:val="both"/>
              <w:rPr>
                <w:rFonts w:eastAsia="Times New Roman" w:cstheme="minorHAnsi"/>
                <w:sz w:val="24"/>
                <w:szCs w:val="24"/>
                <w:lang w:val="en-US" w:eastAsia="fr-FR"/>
              </w:rPr>
            </w:pP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A case in which the United States is a party, such as Social Security claims or federal tax violations.</w:t>
            </w:r>
          </w:p>
          <w:p w:rsidR="007657C3" w:rsidRPr="007657C3" w:rsidRDefault="007657C3" w:rsidP="007657C3">
            <w:pPr>
              <w:jc w:val="both"/>
              <w:rPr>
                <w:rFonts w:eastAsia="Times New Roman" w:cstheme="minorHAnsi"/>
                <w:sz w:val="24"/>
                <w:szCs w:val="24"/>
                <w:lang w:val="en-US" w:eastAsia="fr-FR"/>
              </w:rPr>
            </w:pPr>
          </w:p>
          <w:p w:rsidR="008971AB" w:rsidRPr="007657C3"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A controversy between two states.</w:t>
            </w:r>
          </w:p>
          <w:p w:rsidR="007657C3" w:rsidRPr="007657C3" w:rsidRDefault="007657C3" w:rsidP="007657C3">
            <w:pPr>
              <w:jc w:val="both"/>
              <w:rPr>
                <w:rFonts w:eastAsia="Times New Roman" w:cstheme="minorHAnsi"/>
                <w:sz w:val="24"/>
                <w:szCs w:val="24"/>
                <w:lang w:val="en-US" w:eastAsia="fr-FR"/>
              </w:rPr>
            </w:pPr>
          </w:p>
          <w:p w:rsidR="008971AB"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lastRenderedPageBreak/>
              <w:t>- A case involving foreign governments such as international trade or foreign treaties.</w:t>
            </w:r>
          </w:p>
          <w:p w:rsidR="007657C3" w:rsidRPr="007657C3" w:rsidRDefault="007657C3" w:rsidP="007657C3">
            <w:pPr>
              <w:jc w:val="both"/>
              <w:rPr>
                <w:rFonts w:eastAsia="Times New Roman" w:cstheme="minorHAnsi"/>
                <w:sz w:val="24"/>
                <w:szCs w:val="24"/>
                <w:lang w:val="en-US" w:eastAsia="fr-FR"/>
              </w:rPr>
            </w:pPr>
          </w:p>
          <w:p w:rsidR="008971AB" w:rsidRDefault="008971AB" w:rsidP="007657C3">
            <w:pPr>
              <w:jc w:val="both"/>
              <w:rPr>
                <w:rFonts w:eastAsia="Times New Roman" w:cstheme="minorHAnsi"/>
                <w:sz w:val="24"/>
                <w:szCs w:val="24"/>
                <w:lang w:val="en-US" w:eastAsia="fr-FR"/>
              </w:rPr>
            </w:pPr>
            <w:r w:rsidRPr="007657C3">
              <w:rPr>
                <w:rFonts w:eastAsia="Times New Roman" w:cstheme="minorHAnsi"/>
                <w:sz w:val="24"/>
                <w:szCs w:val="24"/>
                <w:lang w:val="en-US" w:eastAsia="fr-FR"/>
              </w:rPr>
              <w:t>- All bankruptcy, patent, copyright, Native American, and maritime cases.</w:t>
            </w:r>
          </w:p>
          <w:p w:rsidR="007657C3" w:rsidRPr="007657C3" w:rsidRDefault="007657C3" w:rsidP="007657C3">
            <w:pPr>
              <w:jc w:val="both"/>
              <w:rPr>
                <w:rFonts w:eastAsia="Times New Roman" w:cstheme="minorHAnsi"/>
                <w:b/>
                <w:bCs/>
                <w:sz w:val="24"/>
                <w:szCs w:val="24"/>
                <w:lang w:val="en-US" w:eastAsia="fr-FR"/>
              </w:rPr>
            </w:pPr>
          </w:p>
        </w:tc>
      </w:tr>
      <w:tr w:rsidR="008971AB" w:rsidRPr="00982031" w:rsidTr="007657C3">
        <w:trPr>
          <w:trHeight w:val="5802"/>
        </w:trPr>
        <w:tc>
          <w:tcPr>
            <w:tcW w:w="5103" w:type="dxa"/>
          </w:tcPr>
          <w:p w:rsidR="008971AB" w:rsidRPr="007657C3" w:rsidRDefault="008971AB" w:rsidP="008971AB">
            <w:pPr>
              <w:numPr>
                <w:ilvl w:val="0"/>
                <w:numId w:val="3"/>
              </w:numPr>
              <w:spacing w:before="100" w:beforeAutospacing="1" w:after="100" w:afterAutospacing="1"/>
              <w:jc w:val="both"/>
              <w:outlineLvl w:val="1"/>
              <w:rPr>
                <w:rFonts w:eastAsia="Times New Roman" w:cstheme="minorHAnsi"/>
                <w:b/>
                <w:bCs/>
                <w:sz w:val="24"/>
                <w:szCs w:val="24"/>
                <w:lang w:eastAsia="fr-FR"/>
              </w:rPr>
            </w:pPr>
            <w:r w:rsidRPr="007657C3">
              <w:rPr>
                <w:rFonts w:eastAsia="Times New Roman" w:cstheme="minorHAnsi"/>
                <w:b/>
                <w:bCs/>
                <w:sz w:val="24"/>
                <w:szCs w:val="24"/>
                <w:lang w:eastAsia="fr-FR"/>
              </w:rPr>
              <w:lastRenderedPageBreak/>
              <w:t>More About State Courts</w:t>
            </w:r>
          </w:p>
          <w:p w:rsidR="005F78F8"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State court systems vary from state to state, and each is a little different. </w:t>
            </w:r>
          </w:p>
          <w:p w:rsidR="008971AB" w:rsidRPr="007657C3" w:rsidRDefault="008971AB" w:rsidP="008971AB">
            <w:pPr>
              <w:spacing w:beforeAutospacing="1"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Generally the state and federal systems do not overlap, but there are rare cases when a case might be appealed from the </w:t>
            </w:r>
            <w:r w:rsidR="005F78F8" w:rsidRPr="007657C3">
              <w:rPr>
                <w:rFonts w:eastAsia="Times New Roman" w:cstheme="minorHAnsi"/>
                <w:sz w:val="24"/>
                <w:szCs w:val="24"/>
                <w:lang w:val="en-US" w:eastAsia="fr-FR"/>
              </w:rPr>
              <w:t>State</w:t>
            </w:r>
            <w:r w:rsidRPr="007657C3">
              <w:rPr>
                <w:rFonts w:eastAsia="Times New Roman" w:cstheme="minorHAnsi"/>
                <w:sz w:val="24"/>
                <w:szCs w:val="24"/>
                <w:lang w:val="en-US" w:eastAsia="fr-FR"/>
              </w:rPr>
              <w:t xml:space="preserve"> Supreme court to the United States Supreme Court. These cases usually involve the U.S. Constitution, and often deal with issue of civil liberties or civil rights. </w:t>
            </w:r>
          </w:p>
          <w:p w:rsidR="008971AB" w:rsidRDefault="008971AB" w:rsidP="007657C3">
            <w:p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States are allowed to make their own laws, so long as they do not violate the Constitution of the United States. This allows the states to make the laws that are important to their region and populace. Because all the states have their own state constitutions and legal codes, the states must have courts to interpret their laws, just as the national government must have courts to interpret federal law and the U.S. Constitution.</w:t>
            </w:r>
          </w:p>
          <w:p w:rsidR="007657C3" w:rsidRPr="007657C3" w:rsidRDefault="007657C3" w:rsidP="007657C3">
            <w:pPr>
              <w:spacing w:before="100" w:beforeAutospacing="1" w:after="100" w:afterAutospacing="1"/>
              <w:jc w:val="both"/>
              <w:rPr>
                <w:rFonts w:eastAsia="Times New Roman" w:cstheme="minorHAnsi"/>
                <w:b/>
                <w:bCs/>
                <w:sz w:val="24"/>
                <w:szCs w:val="24"/>
                <w:lang w:val="en-US" w:eastAsia="fr-FR"/>
              </w:rPr>
            </w:pPr>
          </w:p>
        </w:tc>
        <w:tc>
          <w:tcPr>
            <w:tcW w:w="5103" w:type="dxa"/>
          </w:tcPr>
          <w:p w:rsidR="008971AB" w:rsidRPr="007657C3" w:rsidRDefault="008971AB" w:rsidP="008971AB">
            <w:pPr>
              <w:numPr>
                <w:ilvl w:val="0"/>
                <w:numId w:val="2"/>
              </w:numPr>
              <w:spacing w:before="100" w:beforeAutospacing="1" w:after="100" w:afterAutospacing="1"/>
              <w:jc w:val="both"/>
              <w:outlineLvl w:val="1"/>
              <w:rPr>
                <w:rFonts w:eastAsia="Times New Roman" w:cstheme="minorHAnsi"/>
                <w:b/>
                <w:bCs/>
                <w:sz w:val="24"/>
                <w:szCs w:val="24"/>
                <w:lang w:eastAsia="fr-FR"/>
              </w:rPr>
            </w:pPr>
            <w:r w:rsidRPr="007657C3">
              <w:rPr>
                <w:rFonts w:eastAsia="Times New Roman" w:cstheme="minorHAnsi"/>
                <w:b/>
                <w:bCs/>
                <w:sz w:val="24"/>
                <w:szCs w:val="24"/>
                <w:lang w:eastAsia="fr-FR"/>
              </w:rPr>
              <w:t xml:space="preserve">Diversity of </w:t>
            </w:r>
            <w:proofErr w:type="spellStart"/>
            <w:r w:rsidRPr="007657C3">
              <w:rPr>
                <w:rFonts w:eastAsia="Times New Roman" w:cstheme="minorHAnsi"/>
                <w:b/>
                <w:bCs/>
                <w:sz w:val="24"/>
                <w:szCs w:val="24"/>
                <w:lang w:eastAsia="fr-FR"/>
              </w:rPr>
              <w:t>Citizenship</w:t>
            </w:r>
            <w:proofErr w:type="spellEnd"/>
            <w:r w:rsidRPr="007657C3">
              <w:rPr>
                <w:rFonts w:eastAsia="Times New Roman" w:cstheme="minorHAnsi"/>
                <w:b/>
                <w:bCs/>
                <w:sz w:val="24"/>
                <w:szCs w:val="24"/>
                <w:lang w:eastAsia="fr-FR"/>
              </w:rPr>
              <w:t xml:space="preserve"> Cases</w:t>
            </w:r>
          </w:p>
          <w:p w:rsidR="008971AB" w:rsidRPr="007657C3" w:rsidRDefault="008971AB" w:rsidP="008971AB">
            <w:pPr>
              <w:spacing w:beforeAutospacing="1" w:afterAutospacing="1"/>
              <w:ind w:left="360"/>
              <w:jc w:val="both"/>
              <w:rPr>
                <w:rFonts w:eastAsia="Times New Roman" w:cstheme="minorHAnsi"/>
                <w:sz w:val="24"/>
                <w:szCs w:val="24"/>
                <w:lang w:val="en-US" w:eastAsia="fr-FR"/>
              </w:rPr>
            </w:pPr>
            <w:r w:rsidRPr="007657C3">
              <w:rPr>
                <w:rFonts w:eastAsia="Times New Roman" w:cstheme="minorHAnsi"/>
                <w:sz w:val="24"/>
                <w:szCs w:val="24"/>
                <w:lang w:val="en-US" w:eastAsia="fr-FR"/>
              </w:rPr>
              <w:t xml:space="preserve">These cases involve disputes between two parties not from the same state or country. Examples include: </w:t>
            </w:r>
          </w:p>
          <w:p w:rsidR="008971AB" w:rsidRPr="007657C3" w:rsidRDefault="008971AB" w:rsidP="008971AB">
            <w:pPr>
              <w:pStyle w:val="Paragraphedeliste"/>
              <w:numPr>
                <w:ilvl w:val="0"/>
                <w:numId w:val="4"/>
              </w:num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Between citizens of two different states.</w:t>
            </w:r>
          </w:p>
          <w:p w:rsidR="008971AB" w:rsidRPr="007657C3" w:rsidRDefault="008971AB" w:rsidP="008971AB">
            <w:pPr>
              <w:pStyle w:val="Paragraphedeliste"/>
              <w:numPr>
                <w:ilvl w:val="0"/>
                <w:numId w:val="4"/>
              </w:numPr>
              <w:spacing w:before="100" w:beforeAutospacing="1" w:after="100" w:afterAutospacing="1"/>
              <w:jc w:val="both"/>
              <w:rPr>
                <w:rFonts w:eastAsia="Times New Roman" w:cstheme="minorHAnsi"/>
                <w:sz w:val="24"/>
                <w:szCs w:val="24"/>
                <w:lang w:val="en-US" w:eastAsia="fr-FR"/>
              </w:rPr>
            </w:pPr>
            <w:r w:rsidRPr="007657C3">
              <w:rPr>
                <w:rFonts w:eastAsia="Times New Roman" w:cstheme="minorHAnsi"/>
                <w:sz w:val="24"/>
                <w:szCs w:val="24"/>
                <w:lang w:val="en-US" w:eastAsia="fr-FR"/>
              </w:rPr>
              <w:t>Between a U.S. citizen and a citizen of another country.</w:t>
            </w:r>
          </w:p>
          <w:p w:rsidR="008971AB" w:rsidRPr="007657C3" w:rsidRDefault="008971AB" w:rsidP="007657C3">
            <w:pPr>
              <w:pStyle w:val="Paragraphedeliste"/>
              <w:numPr>
                <w:ilvl w:val="0"/>
                <w:numId w:val="4"/>
              </w:numPr>
              <w:spacing w:before="100" w:beforeAutospacing="1" w:after="100" w:afterAutospacing="1"/>
              <w:jc w:val="both"/>
              <w:rPr>
                <w:rFonts w:eastAsia="Times New Roman" w:cstheme="minorHAnsi"/>
                <w:b/>
                <w:bCs/>
                <w:sz w:val="24"/>
                <w:szCs w:val="24"/>
                <w:lang w:val="en-US" w:eastAsia="fr-FR"/>
              </w:rPr>
            </w:pPr>
            <w:r w:rsidRPr="007657C3">
              <w:rPr>
                <w:rFonts w:eastAsia="Times New Roman" w:cstheme="minorHAnsi"/>
                <w:sz w:val="24"/>
                <w:szCs w:val="24"/>
                <w:lang w:val="en-US" w:eastAsia="fr-FR"/>
              </w:rPr>
              <w:t>NOTE: The case must involve a claim for at least $75,000 in damages – if not then it must be filed in state court instead.</w:t>
            </w:r>
          </w:p>
        </w:tc>
      </w:tr>
    </w:tbl>
    <w:p w:rsidR="007657C3" w:rsidRPr="007657C3" w:rsidRDefault="007657C3" w:rsidP="007657C3">
      <w:pPr>
        <w:spacing w:after="0" w:line="240" w:lineRule="auto"/>
        <w:rPr>
          <w:rFonts w:cstheme="minorHAnsi"/>
          <w:sz w:val="24"/>
          <w:szCs w:val="24"/>
          <w:lang w:val="en-US"/>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p w:rsidR="007657C3" w:rsidRPr="007657C3" w:rsidRDefault="007657C3" w:rsidP="007657C3">
      <w:pPr>
        <w:spacing w:after="0" w:line="240" w:lineRule="auto"/>
        <w:jc w:val="both"/>
        <w:rPr>
          <w:rFonts w:eastAsia="Times New Roman" w:cstheme="minorHAnsi"/>
          <w:b/>
          <w:sz w:val="24"/>
          <w:szCs w:val="24"/>
          <w:u w:val="single"/>
          <w:lang w:val="en-US" w:eastAsia="fr-FR"/>
        </w:rPr>
      </w:pPr>
    </w:p>
    <w:sectPr w:rsidR="007657C3" w:rsidRPr="007657C3" w:rsidSect="00DA26A3">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B7C21"/>
    <w:multiLevelType w:val="multilevel"/>
    <w:tmpl w:val="8C74E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B6B38"/>
    <w:multiLevelType w:val="hybridMultilevel"/>
    <w:tmpl w:val="25D24848"/>
    <w:lvl w:ilvl="0" w:tplc="A0880730">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015E17"/>
    <w:multiLevelType w:val="multilevel"/>
    <w:tmpl w:val="C630D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D00A8"/>
    <w:multiLevelType w:val="multilevel"/>
    <w:tmpl w:val="B3DE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AB"/>
    <w:rsid w:val="00001C48"/>
    <w:rsid w:val="00002C2B"/>
    <w:rsid w:val="00004C8E"/>
    <w:rsid w:val="00006DF6"/>
    <w:rsid w:val="00007E27"/>
    <w:rsid w:val="000164AF"/>
    <w:rsid w:val="000177DE"/>
    <w:rsid w:val="0002117A"/>
    <w:rsid w:val="000213CA"/>
    <w:rsid w:val="00022493"/>
    <w:rsid w:val="00022F58"/>
    <w:rsid w:val="00025A62"/>
    <w:rsid w:val="00026D19"/>
    <w:rsid w:val="0004086E"/>
    <w:rsid w:val="0004126B"/>
    <w:rsid w:val="0004680F"/>
    <w:rsid w:val="000473B9"/>
    <w:rsid w:val="0005077B"/>
    <w:rsid w:val="0005129D"/>
    <w:rsid w:val="0005320E"/>
    <w:rsid w:val="000604A5"/>
    <w:rsid w:val="000630C8"/>
    <w:rsid w:val="00063BE9"/>
    <w:rsid w:val="000644FF"/>
    <w:rsid w:val="00065767"/>
    <w:rsid w:val="00067946"/>
    <w:rsid w:val="00070C8F"/>
    <w:rsid w:val="00071D32"/>
    <w:rsid w:val="000720F7"/>
    <w:rsid w:val="0007799A"/>
    <w:rsid w:val="000800ED"/>
    <w:rsid w:val="0008483B"/>
    <w:rsid w:val="00084E74"/>
    <w:rsid w:val="000873DA"/>
    <w:rsid w:val="00087E1A"/>
    <w:rsid w:val="00090BB2"/>
    <w:rsid w:val="00090DA1"/>
    <w:rsid w:val="000927C0"/>
    <w:rsid w:val="00092A46"/>
    <w:rsid w:val="00094925"/>
    <w:rsid w:val="000961B8"/>
    <w:rsid w:val="000A28B3"/>
    <w:rsid w:val="000A2CE7"/>
    <w:rsid w:val="000A7758"/>
    <w:rsid w:val="000B2344"/>
    <w:rsid w:val="000B50C6"/>
    <w:rsid w:val="000B6976"/>
    <w:rsid w:val="000B7071"/>
    <w:rsid w:val="000C0101"/>
    <w:rsid w:val="000C0117"/>
    <w:rsid w:val="000C102F"/>
    <w:rsid w:val="000C1E28"/>
    <w:rsid w:val="000C3A3D"/>
    <w:rsid w:val="000C4DA1"/>
    <w:rsid w:val="000C50ED"/>
    <w:rsid w:val="000C694E"/>
    <w:rsid w:val="000C6AE9"/>
    <w:rsid w:val="000E56D5"/>
    <w:rsid w:val="000F13D6"/>
    <w:rsid w:val="000F1C6B"/>
    <w:rsid w:val="000F227C"/>
    <w:rsid w:val="000F3E7D"/>
    <w:rsid w:val="000F67C1"/>
    <w:rsid w:val="00101344"/>
    <w:rsid w:val="00102A95"/>
    <w:rsid w:val="00103EED"/>
    <w:rsid w:val="0010576E"/>
    <w:rsid w:val="001155A8"/>
    <w:rsid w:val="00117481"/>
    <w:rsid w:val="0013334A"/>
    <w:rsid w:val="00133628"/>
    <w:rsid w:val="001348E2"/>
    <w:rsid w:val="00141C9B"/>
    <w:rsid w:val="00143550"/>
    <w:rsid w:val="00144325"/>
    <w:rsid w:val="00144961"/>
    <w:rsid w:val="00145FC4"/>
    <w:rsid w:val="0014688A"/>
    <w:rsid w:val="00147302"/>
    <w:rsid w:val="001502D9"/>
    <w:rsid w:val="00155BE4"/>
    <w:rsid w:val="00156F4E"/>
    <w:rsid w:val="0016200A"/>
    <w:rsid w:val="00172331"/>
    <w:rsid w:val="00172407"/>
    <w:rsid w:val="00173187"/>
    <w:rsid w:val="001764E5"/>
    <w:rsid w:val="001861CC"/>
    <w:rsid w:val="001905F6"/>
    <w:rsid w:val="00190DBA"/>
    <w:rsid w:val="00191C5A"/>
    <w:rsid w:val="00197B04"/>
    <w:rsid w:val="001A26CC"/>
    <w:rsid w:val="001A5888"/>
    <w:rsid w:val="001A5EB2"/>
    <w:rsid w:val="001B17D7"/>
    <w:rsid w:val="001B4043"/>
    <w:rsid w:val="001B4C09"/>
    <w:rsid w:val="001B6B0D"/>
    <w:rsid w:val="001B785F"/>
    <w:rsid w:val="001C090B"/>
    <w:rsid w:val="001C13B4"/>
    <w:rsid w:val="001C6A0F"/>
    <w:rsid w:val="001C70CD"/>
    <w:rsid w:val="001C7F5C"/>
    <w:rsid w:val="001D1E6D"/>
    <w:rsid w:val="001D360E"/>
    <w:rsid w:val="001D3636"/>
    <w:rsid w:val="001D3876"/>
    <w:rsid w:val="001D5A29"/>
    <w:rsid w:val="001E0BE3"/>
    <w:rsid w:val="001E16F2"/>
    <w:rsid w:val="001E2445"/>
    <w:rsid w:val="001E53F5"/>
    <w:rsid w:val="001F367A"/>
    <w:rsid w:val="00205E6C"/>
    <w:rsid w:val="00206C00"/>
    <w:rsid w:val="002115ED"/>
    <w:rsid w:val="002158DC"/>
    <w:rsid w:val="00222081"/>
    <w:rsid w:val="00222118"/>
    <w:rsid w:val="00223D30"/>
    <w:rsid w:val="00230079"/>
    <w:rsid w:val="002409FA"/>
    <w:rsid w:val="00246223"/>
    <w:rsid w:val="0025103B"/>
    <w:rsid w:val="00251364"/>
    <w:rsid w:val="00255B6C"/>
    <w:rsid w:val="00270D20"/>
    <w:rsid w:val="0027347F"/>
    <w:rsid w:val="00273C3A"/>
    <w:rsid w:val="00274372"/>
    <w:rsid w:val="00274541"/>
    <w:rsid w:val="002767D3"/>
    <w:rsid w:val="00276829"/>
    <w:rsid w:val="00276A8A"/>
    <w:rsid w:val="002770FD"/>
    <w:rsid w:val="002772A7"/>
    <w:rsid w:val="00284190"/>
    <w:rsid w:val="0028420E"/>
    <w:rsid w:val="00284CBD"/>
    <w:rsid w:val="0029546C"/>
    <w:rsid w:val="00295EB3"/>
    <w:rsid w:val="002963C1"/>
    <w:rsid w:val="002977E0"/>
    <w:rsid w:val="002A1011"/>
    <w:rsid w:val="002A6F80"/>
    <w:rsid w:val="002B1245"/>
    <w:rsid w:val="002B26A3"/>
    <w:rsid w:val="002B3249"/>
    <w:rsid w:val="002B3DA0"/>
    <w:rsid w:val="002B78CE"/>
    <w:rsid w:val="002B799D"/>
    <w:rsid w:val="002D0CDA"/>
    <w:rsid w:val="002D63E3"/>
    <w:rsid w:val="002D6B2B"/>
    <w:rsid w:val="002E0525"/>
    <w:rsid w:val="002E35FB"/>
    <w:rsid w:val="002E67F5"/>
    <w:rsid w:val="002E7514"/>
    <w:rsid w:val="002F2E1B"/>
    <w:rsid w:val="002F5958"/>
    <w:rsid w:val="002F7B01"/>
    <w:rsid w:val="00302E0D"/>
    <w:rsid w:val="0030710D"/>
    <w:rsid w:val="0030720B"/>
    <w:rsid w:val="00313436"/>
    <w:rsid w:val="00313501"/>
    <w:rsid w:val="00315269"/>
    <w:rsid w:val="00316527"/>
    <w:rsid w:val="00324CF5"/>
    <w:rsid w:val="003254F7"/>
    <w:rsid w:val="00331C1E"/>
    <w:rsid w:val="00332B64"/>
    <w:rsid w:val="00335836"/>
    <w:rsid w:val="00343BBC"/>
    <w:rsid w:val="00343D2E"/>
    <w:rsid w:val="0034456E"/>
    <w:rsid w:val="00346F96"/>
    <w:rsid w:val="00355BC5"/>
    <w:rsid w:val="00361D2D"/>
    <w:rsid w:val="00372566"/>
    <w:rsid w:val="00374297"/>
    <w:rsid w:val="00377C31"/>
    <w:rsid w:val="00385886"/>
    <w:rsid w:val="00394A08"/>
    <w:rsid w:val="00395636"/>
    <w:rsid w:val="003A2DC7"/>
    <w:rsid w:val="003A4289"/>
    <w:rsid w:val="003A5198"/>
    <w:rsid w:val="003A68DE"/>
    <w:rsid w:val="003B198B"/>
    <w:rsid w:val="003B1C82"/>
    <w:rsid w:val="003B205D"/>
    <w:rsid w:val="003C1476"/>
    <w:rsid w:val="003C2F73"/>
    <w:rsid w:val="003C415A"/>
    <w:rsid w:val="003C7206"/>
    <w:rsid w:val="003C77E0"/>
    <w:rsid w:val="003C7D89"/>
    <w:rsid w:val="003D188F"/>
    <w:rsid w:val="003D1931"/>
    <w:rsid w:val="003D5B13"/>
    <w:rsid w:val="003E4C94"/>
    <w:rsid w:val="003E7AB2"/>
    <w:rsid w:val="003F1DFD"/>
    <w:rsid w:val="003F75ED"/>
    <w:rsid w:val="00401FDE"/>
    <w:rsid w:val="00404783"/>
    <w:rsid w:val="00404CAA"/>
    <w:rsid w:val="0041013B"/>
    <w:rsid w:val="00413074"/>
    <w:rsid w:val="00414934"/>
    <w:rsid w:val="004249AE"/>
    <w:rsid w:val="00424CCB"/>
    <w:rsid w:val="00426FBA"/>
    <w:rsid w:val="00430594"/>
    <w:rsid w:val="004308E6"/>
    <w:rsid w:val="00432BF7"/>
    <w:rsid w:val="0044510F"/>
    <w:rsid w:val="004471A6"/>
    <w:rsid w:val="00455F46"/>
    <w:rsid w:val="00457577"/>
    <w:rsid w:val="00462A9A"/>
    <w:rsid w:val="00462B80"/>
    <w:rsid w:val="00463B79"/>
    <w:rsid w:val="00463D4F"/>
    <w:rsid w:val="0046582E"/>
    <w:rsid w:val="00466BF8"/>
    <w:rsid w:val="00472FFF"/>
    <w:rsid w:val="004745E0"/>
    <w:rsid w:val="00474991"/>
    <w:rsid w:val="00475CD6"/>
    <w:rsid w:val="00475FA2"/>
    <w:rsid w:val="004772CA"/>
    <w:rsid w:val="00484FA4"/>
    <w:rsid w:val="00486C8A"/>
    <w:rsid w:val="00491779"/>
    <w:rsid w:val="00492382"/>
    <w:rsid w:val="004A119C"/>
    <w:rsid w:val="004A3B2F"/>
    <w:rsid w:val="004A45CD"/>
    <w:rsid w:val="004A63D8"/>
    <w:rsid w:val="004A79DB"/>
    <w:rsid w:val="004B088A"/>
    <w:rsid w:val="004B3ADB"/>
    <w:rsid w:val="004B4ADC"/>
    <w:rsid w:val="004B5FC0"/>
    <w:rsid w:val="004C159B"/>
    <w:rsid w:val="004C3024"/>
    <w:rsid w:val="004C4F4C"/>
    <w:rsid w:val="004C642D"/>
    <w:rsid w:val="004E207C"/>
    <w:rsid w:val="004E5FC1"/>
    <w:rsid w:val="005020AC"/>
    <w:rsid w:val="005111AA"/>
    <w:rsid w:val="00517486"/>
    <w:rsid w:val="0053451B"/>
    <w:rsid w:val="00540B53"/>
    <w:rsid w:val="0054624D"/>
    <w:rsid w:val="00550E78"/>
    <w:rsid w:val="0055331D"/>
    <w:rsid w:val="005533F6"/>
    <w:rsid w:val="00556726"/>
    <w:rsid w:val="0056054A"/>
    <w:rsid w:val="005654CD"/>
    <w:rsid w:val="0056722A"/>
    <w:rsid w:val="00576CB6"/>
    <w:rsid w:val="00577228"/>
    <w:rsid w:val="0058098D"/>
    <w:rsid w:val="00583761"/>
    <w:rsid w:val="00586EA1"/>
    <w:rsid w:val="0059331F"/>
    <w:rsid w:val="00594A81"/>
    <w:rsid w:val="00595576"/>
    <w:rsid w:val="00595D83"/>
    <w:rsid w:val="005A5E84"/>
    <w:rsid w:val="005B1059"/>
    <w:rsid w:val="005B12DA"/>
    <w:rsid w:val="005B14C0"/>
    <w:rsid w:val="005B4E5F"/>
    <w:rsid w:val="005B5026"/>
    <w:rsid w:val="005B6345"/>
    <w:rsid w:val="005C033C"/>
    <w:rsid w:val="005C1035"/>
    <w:rsid w:val="005C3001"/>
    <w:rsid w:val="005C447A"/>
    <w:rsid w:val="005C4667"/>
    <w:rsid w:val="005D002C"/>
    <w:rsid w:val="005D36B7"/>
    <w:rsid w:val="005D4183"/>
    <w:rsid w:val="005D6D14"/>
    <w:rsid w:val="005D6F5D"/>
    <w:rsid w:val="005D7E98"/>
    <w:rsid w:val="005E29C0"/>
    <w:rsid w:val="005E31DF"/>
    <w:rsid w:val="005E4F2F"/>
    <w:rsid w:val="005E7219"/>
    <w:rsid w:val="005F0D2D"/>
    <w:rsid w:val="005F3D0F"/>
    <w:rsid w:val="005F78F8"/>
    <w:rsid w:val="00601CAF"/>
    <w:rsid w:val="00602465"/>
    <w:rsid w:val="0060302D"/>
    <w:rsid w:val="006064F2"/>
    <w:rsid w:val="00613C79"/>
    <w:rsid w:val="0062407E"/>
    <w:rsid w:val="0062484C"/>
    <w:rsid w:val="006253DF"/>
    <w:rsid w:val="00627800"/>
    <w:rsid w:val="006303AB"/>
    <w:rsid w:val="00632CD0"/>
    <w:rsid w:val="00633D7F"/>
    <w:rsid w:val="00635BC3"/>
    <w:rsid w:val="00645057"/>
    <w:rsid w:val="00650BAA"/>
    <w:rsid w:val="00651F21"/>
    <w:rsid w:val="006534BC"/>
    <w:rsid w:val="00657381"/>
    <w:rsid w:val="006574C5"/>
    <w:rsid w:val="00657B7D"/>
    <w:rsid w:val="00662045"/>
    <w:rsid w:val="0066213A"/>
    <w:rsid w:val="0066334C"/>
    <w:rsid w:val="00666150"/>
    <w:rsid w:val="00667021"/>
    <w:rsid w:val="00671854"/>
    <w:rsid w:val="00671B0B"/>
    <w:rsid w:val="006736BA"/>
    <w:rsid w:val="00674C5D"/>
    <w:rsid w:val="00693396"/>
    <w:rsid w:val="006945B7"/>
    <w:rsid w:val="00694A4C"/>
    <w:rsid w:val="0069612E"/>
    <w:rsid w:val="00697FA2"/>
    <w:rsid w:val="006A3A8E"/>
    <w:rsid w:val="006A7F53"/>
    <w:rsid w:val="006B1371"/>
    <w:rsid w:val="006B1558"/>
    <w:rsid w:val="006B2898"/>
    <w:rsid w:val="006B2C5F"/>
    <w:rsid w:val="006C08E3"/>
    <w:rsid w:val="006C1D57"/>
    <w:rsid w:val="006C4473"/>
    <w:rsid w:val="006C4C40"/>
    <w:rsid w:val="006C4DBF"/>
    <w:rsid w:val="006D44C9"/>
    <w:rsid w:val="006D535F"/>
    <w:rsid w:val="006F0069"/>
    <w:rsid w:val="006F2B83"/>
    <w:rsid w:val="006F30CE"/>
    <w:rsid w:val="006F3234"/>
    <w:rsid w:val="00701B7D"/>
    <w:rsid w:val="0070340B"/>
    <w:rsid w:val="00705794"/>
    <w:rsid w:val="0070598A"/>
    <w:rsid w:val="007074CC"/>
    <w:rsid w:val="00707E1A"/>
    <w:rsid w:val="00710502"/>
    <w:rsid w:val="00716941"/>
    <w:rsid w:val="00722B3E"/>
    <w:rsid w:val="0072434F"/>
    <w:rsid w:val="007315CF"/>
    <w:rsid w:val="00732EC2"/>
    <w:rsid w:val="007337B5"/>
    <w:rsid w:val="0074789C"/>
    <w:rsid w:val="007511AA"/>
    <w:rsid w:val="007522A6"/>
    <w:rsid w:val="00752498"/>
    <w:rsid w:val="00757D29"/>
    <w:rsid w:val="007625ED"/>
    <w:rsid w:val="00762ADF"/>
    <w:rsid w:val="00762B28"/>
    <w:rsid w:val="00764BA5"/>
    <w:rsid w:val="007657C3"/>
    <w:rsid w:val="00776D77"/>
    <w:rsid w:val="00776F1A"/>
    <w:rsid w:val="00783C75"/>
    <w:rsid w:val="00790EE2"/>
    <w:rsid w:val="00792CB5"/>
    <w:rsid w:val="0079451B"/>
    <w:rsid w:val="00795791"/>
    <w:rsid w:val="00797E7D"/>
    <w:rsid w:val="007A0730"/>
    <w:rsid w:val="007A23BE"/>
    <w:rsid w:val="007A4337"/>
    <w:rsid w:val="007A4CF1"/>
    <w:rsid w:val="007A7BF7"/>
    <w:rsid w:val="007B29D3"/>
    <w:rsid w:val="007B4CEF"/>
    <w:rsid w:val="007B4D54"/>
    <w:rsid w:val="007B787B"/>
    <w:rsid w:val="007C20E1"/>
    <w:rsid w:val="007C48D9"/>
    <w:rsid w:val="007C5249"/>
    <w:rsid w:val="007D07C6"/>
    <w:rsid w:val="007D0C83"/>
    <w:rsid w:val="007D0EF8"/>
    <w:rsid w:val="007D5D05"/>
    <w:rsid w:val="007D6609"/>
    <w:rsid w:val="007E4F69"/>
    <w:rsid w:val="007E618C"/>
    <w:rsid w:val="007E7EE1"/>
    <w:rsid w:val="007F0567"/>
    <w:rsid w:val="007F1909"/>
    <w:rsid w:val="007F751F"/>
    <w:rsid w:val="008021B8"/>
    <w:rsid w:val="00805EFB"/>
    <w:rsid w:val="00805F45"/>
    <w:rsid w:val="0081022D"/>
    <w:rsid w:val="00811817"/>
    <w:rsid w:val="008176EF"/>
    <w:rsid w:val="008225BB"/>
    <w:rsid w:val="008242FC"/>
    <w:rsid w:val="00824A5C"/>
    <w:rsid w:val="00827D1E"/>
    <w:rsid w:val="008341C0"/>
    <w:rsid w:val="0083563B"/>
    <w:rsid w:val="00845C99"/>
    <w:rsid w:val="008539F3"/>
    <w:rsid w:val="00867B49"/>
    <w:rsid w:val="00875242"/>
    <w:rsid w:val="00876C54"/>
    <w:rsid w:val="008808DF"/>
    <w:rsid w:val="00882266"/>
    <w:rsid w:val="00882FCE"/>
    <w:rsid w:val="00893AAB"/>
    <w:rsid w:val="0089415D"/>
    <w:rsid w:val="008949F1"/>
    <w:rsid w:val="008971AB"/>
    <w:rsid w:val="008A1766"/>
    <w:rsid w:val="008A2398"/>
    <w:rsid w:val="008A3243"/>
    <w:rsid w:val="008A47FF"/>
    <w:rsid w:val="008A5FF7"/>
    <w:rsid w:val="008A7EC2"/>
    <w:rsid w:val="008B1061"/>
    <w:rsid w:val="008B4B9A"/>
    <w:rsid w:val="008B4F92"/>
    <w:rsid w:val="008C316E"/>
    <w:rsid w:val="008C60D8"/>
    <w:rsid w:val="008C7333"/>
    <w:rsid w:val="008D01DB"/>
    <w:rsid w:val="008D0C0A"/>
    <w:rsid w:val="008D4C4D"/>
    <w:rsid w:val="008E7437"/>
    <w:rsid w:val="008E7A80"/>
    <w:rsid w:val="008F3DC5"/>
    <w:rsid w:val="008F4430"/>
    <w:rsid w:val="008F51AE"/>
    <w:rsid w:val="008F52AB"/>
    <w:rsid w:val="008F57CE"/>
    <w:rsid w:val="008F60AC"/>
    <w:rsid w:val="009026A3"/>
    <w:rsid w:val="009042DD"/>
    <w:rsid w:val="0090547A"/>
    <w:rsid w:val="009101A8"/>
    <w:rsid w:val="0091264A"/>
    <w:rsid w:val="00914CA2"/>
    <w:rsid w:val="009222D9"/>
    <w:rsid w:val="00922605"/>
    <w:rsid w:val="00923DAF"/>
    <w:rsid w:val="00923DD9"/>
    <w:rsid w:val="009265FF"/>
    <w:rsid w:val="00927344"/>
    <w:rsid w:val="009275F4"/>
    <w:rsid w:val="009315C2"/>
    <w:rsid w:val="0093434A"/>
    <w:rsid w:val="009347C4"/>
    <w:rsid w:val="00940ED9"/>
    <w:rsid w:val="00944E2A"/>
    <w:rsid w:val="009467CB"/>
    <w:rsid w:val="00946A5D"/>
    <w:rsid w:val="009512DE"/>
    <w:rsid w:val="00952671"/>
    <w:rsid w:val="009539B2"/>
    <w:rsid w:val="00954992"/>
    <w:rsid w:val="00955D2A"/>
    <w:rsid w:val="00955EBB"/>
    <w:rsid w:val="00956851"/>
    <w:rsid w:val="00960A1C"/>
    <w:rsid w:val="0096425C"/>
    <w:rsid w:val="00970574"/>
    <w:rsid w:val="00970BDA"/>
    <w:rsid w:val="009747D3"/>
    <w:rsid w:val="009751BE"/>
    <w:rsid w:val="00975D7F"/>
    <w:rsid w:val="0097703D"/>
    <w:rsid w:val="0098132B"/>
    <w:rsid w:val="00982031"/>
    <w:rsid w:val="0098205B"/>
    <w:rsid w:val="00984988"/>
    <w:rsid w:val="00985837"/>
    <w:rsid w:val="00985F8B"/>
    <w:rsid w:val="00990DDF"/>
    <w:rsid w:val="00992180"/>
    <w:rsid w:val="0099485A"/>
    <w:rsid w:val="00995FCB"/>
    <w:rsid w:val="009A03F3"/>
    <w:rsid w:val="009B094C"/>
    <w:rsid w:val="009B14FF"/>
    <w:rsid w:val="009B3458"/>
    <w:rsid w:val="009B5E6B"/>
    <w:rsid w:val="009C4EE7"/>
    <w:rsid w:val="009D264E"/>
    <w:rsid w:val="009D3229"/>
    <w:rsid w:val="009D5D18"/>
    <w:rsid w:val="009D6DE7"/>
    <w:rsid w:val="009D6E55"/>
    <w:rsid w:val="009D72BE"/>
    <w:rsid w:val="009D7D1C"/>
    <w:rsid w:val="009E09B2"/>
    <w:rsid w:val="009E1C28"/>
    <w:rsid w:val="009E34F8"/>
    <w:rsid w:val="009E6C28"/>
    <w:rsid w:val="009F1F50"/>
    <w:rsid w:val="009F43EC"/>
    <w:rsid w:val="009F50AE"/>
    <w:rsid w:val="009F7342"/>
    <w:rsid w:val="009F7CB0"/>
    <w:rsid w:val="009F7E39"/>
    <w:rsid w:val="00A00797"/>
    <w:rsid w:val="00A07A21"/>
    <w:rsid w:val="00A07D15"/>
    <w:rsid w:val="00A12DFC"/>
    <w:rsid w:val="00A131E3"/>
    <w:rsid w:val="00A13BBB"/>
    <w:rsid w:val="00A15075"/>
    <w:rsid w:val="00A214FC"/>
    <w:rsid w:val="00A23078"/>
    <w:rsid w:val="00A23840"/>
    <w:rsid w:val="00A26FC8"/>
    <w:rsid w:val="00A33CAD"/>
    <w:rsid w:val="00A35011"/>
    <w:rsid w:val="00A372FC"/>
    <w:rsid w:val="00A40A02"/>
    <w:rsid w:val="00A42AC0"/>
    <w:rsid w:val="00A43CD1"/>
    <w:rsid w:val="00A4480F"/>
    <w:rsid w:val="00A4630F"/>
    <w:rsid w:val="00A53983"/>
    <w:rsid w:val="00A56583"/>
    <w:rsid w:val="00A5674C"/>
    <w:rsid w:val="00A568C6"/>
    <w:rsid w:val="00A56ADD"/>
    <w:rsid w:val="00A7458D"/>
    <w:rsid w:val="00A7481F"/>
    <w:rsid w:val="00A76312"/>
    <w:rsid w:val="00A81EBB"/>
    <w:rsid w:val="00A841C2"/>
    <w:rsid w:val="00A84313"/>
    <w:rsid w:val="00A9071A"/>
    <w:rsid w:val="00A92030"/>
    <w:rsid w:val="00A935E4"/>
    <w:rsid w:val="00AA0F19"/>
    <w:rsid w:val="00AA3ED1"/>
    <w:rsid w:val="00AA4CFF"/>
    <w:rsid w:val="00AB07AE"/>
    <w:rsid w:val="00AB1A2E"/>
    <w:rsid w:val="00AB1CAB"/>
    <w:rsid w:val="00AB3FF0"/>
    <w:rsid w:val="00AB600D"/>
    <w:rsid w:val="00AB6768"/>
    <w:rsid w:val="00AB67CB"/>
    <w:rsid w:val="00AB6CDE"/>
    <w:rsid w:val="00AC512E"/>
    <w:rsid w:val="00AC69BF"/>
    <w:rsid w:val="00AC796C"/>
    <w:rsid w:val="00AD00D7"/>
    <w:rsid w:val="00AD0CCB"/>
    <w:rsid w:val="00AD1F6A"/>
    <w:rsid w:val="00AD377E"/>
    <w:rsid w:val="00AD4E3B"/>
    <w:rsid w:val="00AD6528"/>
    <w:rsid w:val="00AD655D"/>
    <w:rsid w:val="00AD7563"/>
    <w:rsid w:val="00AD7F78"/>
    <w:rsid w:val="00AE127C"/>
    <w:rsid w:val="00AE3C27"/>
    <w:rsid w:val="00AE42D5"/>
    <w:rsid w:val="00AE4752"/>
    <w:rsid w:val="00AE6AA2"/>
    <w:rsid w:val="00AE6DE3"/>
    <w:rsid w:val="00AE796A"/>
    <w:rsid w:val="00AF01A3"/>
    <w:rsid w:val="00AF1689"/>
    <w:rsid w:val="00AF436F"/>
    <w:rsid w:val="00AF4775"/>
    <w:rsid w:val="00AF79E6"/>
    <w:rsid w:val="00B00400"/>
    <w:rsid w:val="00B02C52"/>
    <w:rsid w:val="00B04B14"/>
    <w:rsid w:val="00B123AE"/>
    <w:rsid w:val="00B15133"/>
    <w:rsid w:val="00B16F9F"/>
    <w:rsid w:val="00B23204"/>
    <w:rsid w:val="00B2703B"/>
    <w:rsid w:val="00B2756C"/>
    <w:rsid w:val="00B275DB"/>
    <w:rsid w:val="00B327F4"/>
    <w:rsid w:val="00B341A7"/>
    <w:rsid w:val="00B341C5"/>
    <w:rsid w:val="00B35C2F"/>
    <w:rsid w:val="00B35FE9"/>
    <w:rsid w:val="00B3633A"/>
    <w:rsid w:val="00B36F1D"/>
    <w:rsid w:val="00B37E58"/>
    <w:rsid w:val="00B403B2"/>
    <w:rsid w:val="00B41D3C"/>
    <w:rsid w:val="00B42C3B"/>
    <w:rsid w:val="00B44D79"/>
    <w:rsid w:val="00B55B45"/>
    <w:rsid w:val="00B57AA3"/>
    <w:rsid w:val="00B601E6"/>
    <w:rsid w:val="00B61923"/>
    <w:rsid w:val="00B65555"/>
    <w:rsid w:val="00B66504"/>
    <w:rsid w:val="00B6724F"/>
    <w:rsid w:val="00B71D86"/>
    <w:rsid w:val="00B847E8"/>
    <w:rsid w:val="00B85527"/>
    <w:rsid w:val="00B9059D"/>
    <w:rsid w:val="00B91CA8"/>
    <w:rsid w:val="00B95817"/>
    <w:rsid w:val="00B96660"/>
    <w:rsid w:val="00B97241"/>
    <w:rsid w:val="00BA12E5"/>
    <w:rsid w:val="00BA5840"/>
    <w:rsid w:val="00BB3DF9"/>
    <w:rsid w:val="00BB54CA"/>
    <w:rsid w:val="00BB782F"/>
    <w:rsid w:val="00BC1C69"/>
    <w:rsid w:val="00BC69A8"/>
    <w:rsid w:val="00BC79A9"/>
    <w:rsid w:val="00BD04D3"/>
    <w:rsid w:val="00BD2EE1"/>
    <w:rsid w:val="00BD5054"/>
    <w:rsid w:val="00BD5077"/>
    <w:rsid w:val="00BD519C"/>
    <w:rsid w:val="00BD629D"/>
    <w:rsid w:val="00BE3A7D"/>
    <w:rsid w:val="00BE7061"/>
    <w:rsid w:val="00BE7E93"/>
    <w:rsid w:val="00BF7813"/>
    <w:rsid w:val="00C04E25"/>
    <w:rsid w:val="00C05BE7"/>
    <w:rsid w:val="00C06455"/>
    <w:rsid w:val="00C07DE1"/>
    <w:rsid w:val="00C102C9"/>
    <w:rsid w:val="00C12771"/>
    <w:rsid w:val="00C12C0F"/>
    <w:rsid w:val="00C238CF"/>
    <w:rsid w:val="00C31C63"/>
    <w:rsid w:val="00C323F6"/>
    <w:rsid w:val="00C3460D"/>
    <w:rsid w:val="00C3484D"/>
    <w:rsid w:val="00C45FB1"/>
    <w:rsid w:val="00C475F5"/>
    <w:rsid w:val="00C47DE9"/>
    <w:rsid w:val="00C50944"/>
    <w:rsid w:val="00C515FA"/>
    <w:rsid w:val="00C51C40"/>
    <w:rsid w:val="00C56C90"/>
    <w:rsid w:val="00C656C5"/>
    <w:rsid w:val="00C66F7D"/>
    <w:rsid w:val="00C8262B"/>
    <w:rsid w:val="00C865F8"/>
    <w:rsid w:val="00C87E0E"/>
    <w:rsid w:val="00C90B3E"/>
    <w:rsid w:val="00C924EF"/>
    <w:rsid w:val="00C9505C"/>
    <w:rsid w:val="00C966C7"/>
    <w:rsid w:val="00CA0147"/>
    <w:rsid w:val="00CA01A8"/>
    <w:rsid w:val="00CA15CC"/>
    <w:rsid w:val="00CA4CE8"/>
    <w:rsid w:val="00CA4F0D"/>
    <w:rsid w:val="00CB0AD1"/>
    <w:rsid w:val="00CB3006"/>
    <w:rsid w:val="00CB671C"/>
    <w:rsid w:val="00CB7B2B"/>
    <w:rsid w:val="00CC13B7"/>
    <w:rsid w:val="00CC3F89"/>
    <w:rsid w:val="00CC5049"/>
    <w:rsid w:val="00CC64CB"/>
    <w:rsid w:val="00CC6792"/>
    <w:rsid w:val="00CC74C1"/>
    <w:rsid w:val="00CC7EB7"/>
    <w:rsid w:val="00CD0FBE"/>
    <w:rsid w:val="00CD14CC"/>
    <w:rsid w:val="00CD595F"/>
    <w:rsid w:val="00CE4FA3"/>
    <w:rsid w:val="00CF12CF"/>
    <w:rsid w:val="00CF76C4"/>
    <w:rsid w:val="00D022DE"/>
    <w:rsid w:val="00D05280"/>
    <w:rsid w:val="00D0637B"/>
    <w:rsid w:val="00D0722F"/>
    <w:rsid w:val="00D073CB"/>
    <w:rsid w:val="00D10B7B"/>
    <w:rsid w:val="00D117BE"/>
    <w:rsid w:val="00D1181E"/>
    <w:rsid w:val="00D158CE"/>
    <w:rsid w:val="00D15BCD"/>
    <w:rsid w:val="00D21BAF"/>
    <w:rsid w:val="00D2337E"/>
    <w:rsid w:val="00D23597"/>
    <w:rsid w:val="00D24849"/>
    <w:rsid w:val="00D25503"/>
    <w:rsid w:val="00D25F32"/>
    <w:rsid w:val="00D273BC"/>
    <w:rsid w:val="00D34EF0"/>
    <w:rsid w:val="00D40B4C"/>
    <w:rsid w:val="00D42D69"/>
    <w:rsid w:val="00D46492"/>
    <w:rsid w:val="00D51000"/>
    <w:rsid w:val="00D51DCC"/>
    <w:rsid w:val="00D55138"/>
    <w:rsid w:val="00D61234"/>
    <w:rsid w:val="00D61545"/>
    <w:rsid w:val="00D7188D"/>
    <w:rsid w:val="00D73AE8"/>
    <w:rsid w:val="00D74B19"/>
    <w:rsid w:val="00D7568A"/>
    <w:rsid w:val="00D76791"/>
    <w:rsid w:val="00D77221"/>
    <w:rsid w:val="00D82E8C"/>
    <w:rsid w:val="00D86142"/>
    <w:rsid w:val="00D87390"/>
    <w:rsid w:val="00D90952"/>
    <w:rsid w:val="00D91DB3"/>
    <w:rsid w:val="00D930FC"/>
    <w:rsid w:val="00D94DA3"/>
    <w:rsid w:val="00D96FBE"/>
    <w:rsid w:val="00D9714F"/>
    <w:rsid w:val="00DA26A3"/>
    <w:rsid w:val="00DB1866"/>
    <w:rsid w:val="00DB3604"/>
    <w:rsid w:val="00DC09C7"/>
    <w:rsid w:val="00DC2D8C"/>
    <w:rsid w:val="00DC4927"/>
    <w:rsid w:val="00DC5BF3"/>
    <w:rsid w:val="00DE1EE6"/>
    <w:rsid w:val="00DE29F9"/>
    <w:rsid w:val="00DF1857"/>
    <w:rsid w:val="00DF4323"/>
    <w:rsid w:val="00DF7029"/>
    <w:rsid w:val="00E0180A"/>
    <w:rsid w:val="00E05051"/>
    <w:rsid w:val="00E21B19"/>
    <w:rsid w:val="00E30BD1"/>
    <w:rsid w:val="00E35B6A"/>
    <w:rsid w:val="00E473E1"/>
    <w:rsid w:val="00E50BD7"/>
    <w:rsid w:val="00E5165D"/>
    <w:rsid w:val="00E5272D"/>
    <w:rsid w:val="00E536D9"/>
    <w:rsid w:val="00E53B98"/>
    <w:rsid w:val="00E55D81"/>
    <w:rsid w:val="00E572CA"/>
    <w:rsid w:val="00E604E7"/>
    <w:rsid w:val="00E61CC1"/>
    <w:rsid w:val="00E64F6A"/>
    <w:rsid w:val="00E65125"/>
    <w:rsid w:val="00E706C0"/>
    <w:rsid w:val="00E72F4A"/>
    <w:rsid w:val="00E76910"/>
    <w:rsid w:val="00E77982"/>
    <w:rsid w:val="00E80FE9"/>
    <w:rsid w:val="00E816B6"/>
    <w:rsid w:val="00E83EBA"/>
    <w:rsid w:val="00E85C1D"/>
    <w:rsid w:val="00E86F9E"/>
    <w:rsid w:val="00E9426E"/>
    <w:rsid w:val="00E946A4"/>
    <w:rsid w:val="00E95E4A"/>
    <w:rsid w:val="00EA4897"/>
    <w:rsid w:val="00EA5999"/>
    <w:rsid w:val="00EA7ABF"/>
    <w:rsid w:val="00EB11DD"/>
    <w:rsid w:val="00EB24A3"/>
    <w:rsid w:val="00EB4624"/>
    <w:rsid w:val="00EC0B9B"/>
    <w:rsid w:val="00EC1B5E"/>
    <w:rsid w:val="00EC4250"/>
    <w:rsid w:val="00EC54B1"/>
    <w:rsid w:val="00EC59FF"/>
    <w:rsid w:val="00EC6304"/>
    <w:rsid w:val="00ED2F42"/>
    <w:rsid w:val="00ED434C"/>
    <w:rsid w:val="00ED6C2F"/>
    <w:rsid w:val="00EE0427"/>
    <w:rsid w:val="00EE46BC"/>
    <w:rsid w:val="00EE7658"/>
    <w:rsid w:val="00EF6C5A"/>
    <w:rsid w:val="00EF7A04"/>
    <w:rsid w:val="00EF7B99"/>
    <w:rsid w:val="00F07FCD"/>
    <w:rsid w:val="00F12FB4"/>
    <w:rsid w:val="00F1412D"/>
    <w:rsid w:val="00F148C4"/>
    <w:rsid w:val="00F1665A"/>
    <w:rsid w:val="00F166BD"/>
    <w:rsid w:val="00F200AE"/>
    <w:rsid w:val="00F2126C"/>
    <w:rsid w:val="00F219EF"/>
    <w:rsid w:val="00F261D2"/>
    <w:rsid w:val="00F300FD"/>
    <w:rsid w:val="00F32999"/>
    <w:rsid w:val="00F3323C"/>
    <w:rsid w:val="00F35FFF"/>
    <w:rsid w:val="00F458A0"/>
    <w:rsid w:val="00F52C22"/>
    <w:rsid w:val="00F60196"/>
    <w:rsid w:val="00F614AF"/>
    <w:rsid w:val="00F6267D"/>
    <w:rsid w:val="00F62CC6"/>
    <w:rsid w:val="00F67AB7"/>
    <w:rsid w:val="00F67C98"/>
    <w:rsid w:val="00F73E9B"/>
    <w:rsid w:val="00F8020D"/>
    <w:rsid w:val="00F877D9"/>
    <w:rsid w:val="00F9354E"/>
    <w:rsid w:val="00F939A6"/>
    <w:rsid w:val="00F93B15"/>
    <w:rsid w:val="00FA0299"/>
    <w:rsid w:val="00FA19BE"/>
    <w:rsid w:val="00FA1BFE"/>
    <w:rsid w:val="00FA5405"/>
    <w:rsid w:val="00FB2C5A"/>
    <w:rsid w:val="00FC5635"/>
    <w:rsid w:val="00FD0155"/>
    <w:rsid w:val="00FD26B0"/>
    <w:rsid w:val="00FE1181"/>
    <w:rsid w:val="00FE13A7"/>
    <w:rsid w:val="00FE415C"/>
    <w:rsid w:val="00FF37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1B4F"/>
  <w15:chartTrackingRefBased/>
  <w15:docId w15:val="{2B6FF5D4-E94E-4E5C-A90A-6C7C5F9E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link w:val="Titre2Car"/>
    <w:uiPriority w:val="9"/>
    <w:qFormat/>
    <w:rsid w:val="008971A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8971A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971A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971AB"/>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8971AB"/>
    <w:rPr>
      <w:b/>
      <w:bCs/>
    </w:rPr>
  </w:style>
  <w:style w:type="character" w:styleId="Lienhypertexte">
    <w:name w:val="Hyperlink"/>
    <w:basedOn w:val="Policepardfaut"/>
    <w:uiPriority w:val="99"/>
    <w:semiHidden/>
    <w:unhideWhenUsed/>
    <w:rsid w:val="008971AB"/>
    <w:rPr>
      <w:color w:val="0000FF"/>
      <w:u w:val="single"/>
    </w:rPr>
  </w:style>
  <w:style w:type="table" w:styleId="Grilledutableau">
    <w:name w:val="Table Grid"/>
    <w:basedOn w:val="TableauNormal"/>
    <w:uiPriority w:val="39"/>
    <w:rsid w:val="00897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97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181207">
      <w:bodyDiv w:val="1"/>
      <w:marLeft w:val="0"/>
      <w:marRight w:val="0"/>
      <w:marTop w:val="0"/>
      <w:marBottom w:val="0"/>
      <w:divBdr>
        <w:top w:val="none" w:sz="0" w:space="0" w:color="auto"/>
        <w:left w:val="none" w:sz="0" w:space="0" w:color="auto"/>
        <w:bottom w:val="none" w:sz="0" w:space="0" w:color="auto"/>
        <w:right w:val="none" w:sz="0" w:space="0" w:color="auto"/>
      </w:divBdr>
      <w:divsChild>
        <w:div w:id="1793669847">
          <w:marLeft w:val="0"/>
          <w:marRight w:val="0"/>
          <w:marTop w:val="0"/>
          <w:marBottom w:val="0"/>
          <w:divBdr>
            <w:top w:val="none" w:sz="0" w:space="0" w:color="auto"/>
            <w:left w:val="none" w:sz="0" w:space="0" w:color="auto"/>
            <w:bottom w:val="none" w:sz="0" w:space="0" w:color="auto"/>
            <w:right w:val="none" w:sz="0" w:space="0" w:color="auto"/>
          </w:divBdr>
          <w:divsChild>
            <w:div w:id="64685266">
              <w:marLeft w:val="0"/>
              <w:marRight w:val="0"/>
              <w:marTop w:val="0"/>
              <w:marBottom w:val="0"/>
              <w:divBdr>
                <w:top w:val="none" w:sz="0" w:space="0" w:color="auto"/>
                <w:left w:val="none" w:sz="0" w:space="0" w:color="auto"/>
                <w:bottom w:val="none" w:sz="0" w:space="0" w:color="auto"/>
                <w:right w:val="none" w:sz="0" w:space="0" w:color="auto"/>
              </w:divBdr>
            </w:div>
          </w:divsChild>
        </w:div>
        <w:div w:id="17900330">
          <w:marLeft w:val="0"/>
          <w:marRight w:val="0"/>
          <w:marTop w:val="0"/>
          <w:marBottom w:val="0"/>
          <w:divBdr>
            <w:top w:val="none" w:sz="0" w:space="0" w:color="auto"/>
            <w:left w:val="none" w:sz="0" w:space="0" w:color="auto"/>
            <w:bottom w:val="none" w:sz="0" w:space="0" w:color="auto"/>
            <w:right w:val="none" w:sz="0" w:space="0" w:color="auto"/>
          </w:divBdr>
          <w:divsChild>
            <w:div w:id="1161894575">
              <w:marLeft w:val="0"/>
              <w:marRight w:val="0"/>
              <w:marTop w:val="0"/>
              <w:marBottom w:val="0"/>
              <w:divBdr>
                <w:top w:val="none" w:sz="0" w:space="0" w:color="auto"/>
                <w:left w:val="none" w:sz="0" w:space="0" w:color="auto"/>
                <w:bottom w:val="none" w:sz="0" w:space="0" w:color="auto"/>
                <w:right w:val="none" w:sz="0" w:space="0" w:color="auto"/>
              </w:divBdr>
            </w:div>
            <w:div w:id="821430262">
              <w:marLeft w:val="0"/>
              <w:marRight w:val="0"/>
              <w:marTop w:val="0"/>
              <w:marBottom w:val="0"/>
              <w:divBdr>
                <w:top w:val="none" w:sz="0" w:space="0" w:color="auto"/>
                <w:left w:val="none" w:sz="0" w:space="0" w:color="auto"/>
                <w:bottom w:val="none" w:sz="0" w:space="0" w:color="auto"/>
                <w:right w:val="none" w:sz="0" w:space="0" w:color="auto"/>
              </w:divBdr>
            </w:div>
          </w:divsChild>
        </w:div>
        <w:div w:id="911818626">
          <w:marLeft w:val="0"/>
          <w:marRight w:val="0"/>
          <w:marTop w:val="0"/>
          <w:marBottom w:val="0"/>
          <w:divBdr>
            <w:top w:val="none" w:sz="0" w:space="0" w:color="auto"/>
            <w:left w:val="none" w:sz="0" w:space="0" w:color="auto"/>
            <w:bottom w:val="none" w:sz="0" w:space="0" w:color="auto"/>
            <w:right w:val="none" w:sz="0" w:space="0" w:color="auto"/>
          </w:divBdr>
          <w:divsChild>
            <w:div w:id="1429808283">
              <w:marLeft w:val="0"/>
              <w:marRight w:val="0"/>
              <w:marTop w:val="0"/>
              <w:marBottom w:val="0"/>
              <w:divBdr>
                <w:top w:val="none" w:sz="0" w:space="0" w:color="auto"/>
                <w:left w:val="none" w:sz="0" w:space="0" w:color="auto"/>
                <w:bottom w:val="none" w:sz="0" w:space="0" w:color="auto"/>
                <w:right w:val="none" w:sz="0" w:space="0" w:color="auto"/>
              </w:divBdr>
            </w:div>
            <w:div w:id="1882744815">
              <w:marLeft w:val="0"/>
              <w:marRight w:val="0"/>
              <w:marTop w:val="0"/>
              <w:marBottom w:val="0"/>
              <w:divBdr>
                <w:top w:val="none" w:sz="0" w:space="0" w:color="auto"/>
                <w:left w:val="none" w:sz="0" w:space="0" w:color="auto"/>
                <w:bottom w:val="none" w:sz="0" w:space="0" w:color="auto"/>
                <w:right w:val="none" w:sz="0" w:space="0" w:color="auto"/>
              </w:divBdr>
            </w:div>
            <w:div w:id="1680350201">
              <w:marLeft w:val="0"/>
              <w:marRight w:val="0"/>
              <w:marTop w:val="0"/>
              <w:marBottom w:val="0"/>
              <w:divBdr>
                <w:top w:val="none" w:sz="0" w:space="0" w:color="auto"/>
                <w:left w:val="none" w:sz="0" w:space="0" w:color="auto"/>
                <w:bottom w:val="none" w:sz="0" w:space="0" w:color="auto"/>
                <w:right w:val="none" w:sz="0" w:space="0" w:color="auto"/>
              </w:divBdr>
            </w:div>
          </w:divsChild>
        </w:div>
        <w:div w:id="1229606366">
          <w:marLeft w:val="0"/>
          <w:marRight w:val="0"/>
          <w:marTop w:val="0"/>
          <w:marBottom w:val="0"/>
          <w:divBdr>
            <w:top w:val="none" w:sz="0" w:space="0" w:color="auto"/>
            <w:left w:val="none" w:sz="0" w:space="0" w:color="auto"/>
            <w:bottom w:val="none" w:sz="0" w:space="0" w:color="auto"/>
            <w:right w:val="none" w:sz="0" w:space="0" w:color="auto"/>
          </w:divBdr>
          <w:divsChild>
            <w:div w:id="4077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diciallearningcenter.org/glossary/" TargetMode="External"/><Relationship Id="rId3" Type="http://schemas.openxmlformats.org/officeDocument/2006/relationships/settings" Target="settings.xml"/><Relationship Id="rId7" Type="http://schemas.openxmlformats.org/officeDocument/2006/relationships/hyperlink" Target="https://judiciallearningcenter.org/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diciallearningcenter.org/glossary/" TargetMode="External"/><Relationship Id="rId5" Type="http://schemas.openxmlformats.org/officeDocument/2006/relationships/hyperlink" Target="https://judiciallearningcenter.org/glossa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3577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mangin19</dc:creator>
  <cp:keywords/>
  <dc:description/>
  <cp:lastModifiedBy>Claire Semin</cp:lastModifiedBy>
  <cp:revision>4</cp:revision>
  <dcterms:created xsi:type="dcterms:W3CDTF">2021-01-21T17:07:00Z</dcterms:created>
  <dcterms:modified xsi:type="dcterms:W3CDTF">2023-09-06T13:53:00Z</dcterms:modified>
</cp:coreProperties>
</file>